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8555C" w14:textId="77777777" w:rsidR="0070750B" w:rsidRDefault="0070750B" w:rsidP="0070750B">
      <w:pPr>
        <w:spacing w:after="0"/>
        <w:jc w:val="center"/>
        <w:rPr>
          <w:rFonts w:ascii="Times New Roman" w:hAnsi="Times New Roman" w:cs="Times New Roman"/>
          <w:b/>
          <w:bCs/>
          <w:sz w:val="24"/>
          <w:szCs w:val="24"/>
        </w:rPr>
      </w:pPr>
      <w:r>
        <w:rPr>
          <w:rFonts w:ascii="Times New Roman" w:hAnsi="Times New Roman" w:cs="Times New Roman"/>
          <w:b/>
          <w:bCs/>
          <w:sz w:val="24"/>
          <w:szCs w:val="24"/>
        </w:rPr>
        <w:t>Gemeentesteun aan betaald voetbalclubs</w:t>
      </w:r>
    </w:p>
    <w:p w14:paraId="0CBFA323" w14:textId="77777777" w:rsidR="005353F2" w:rsidRDefault="0070750B" w:rsidP="0070750B">
      <w:pPr>
        <w:spacing w:after="0"/>
        <w:jc w:val="center"/>
        <w:rPr>
          <w:rFonts w:ascii="Times New Roman" w:hAnsi="Times New Roman" w:cs="Times New Roman"/>
          <w:b/>
          <w:bCs/>
          <w:sz w:val="24"/>
          <w:szCs w:val="24"/>
        </w:rPr>
      </w:pPr>
      <w:r>
        <w:rPr>
          <w:rFonts w:ascii="Times New Roman" w:hAnsi="Times New Roman" w:cs="Times New Roman"/>
          <w:b/>
          <w:bCs/>
          <w:sz w:val="24"/>
          <w:szCs w:val="24"/>
        </w:rPr>
        <w:t>Jan van Ours en Martin van Tuijl</w:t>
      </w:r>
    </w:p>
    <w:p w14:paraId="2EE21ABB" w14:textId="77777777" w:rsidR="005353F2" w:rsidRDefault="002030DB" w:rsidP="0070750B">
      <w:pPr>
        <w:spacing w:after="0"/>
        <w:jc w:val="center"/>
      </w:pPr>
      <w:r>
        <w:rPr>
          <w:rFonts w:ascii="Times New Roman" w:hAnsi="Times New Roman" w:cs="Times New Roman"/>
          <w:b/>
          <w:bCs/>
          <w:sz w:val="24"/>
          <w:szCs w:val="24"/>
        </w:rPr>
        <w:t>18</w:t>
      </w:r>
      <w:r w:rsidR="0070750B">
        <w:rPr>
          <w:rFonts w:ascii="Times New Roman" w:hAnsi="Times New Roman" w:cs="Times New Roman"/>
          <w:b/>
          <w:bCs/>
          <w:sz w:val="24"/>
          <w:szCs w:val="24"/>
        </w:rPr>
        <w:t xml:space="preserve"> juli 2013</w:t>
      </w:r>
    </w:p>
    <w:p w14:paraId="3328476F" w14:textId="77777777" w:rsidR="005353F2" w:rsidRDefault="005353F2">
      <w:pPr>
        <w:spacing w:after="0"/>
      </w:pPr>
    </w:p>
    <w:p w14:paraId="2B493C73" w14:textId="77777777" w:rsidR="005353F2" w:rsidRPr="00EB06F7" w:rsidRDefault="0070750B">
      <w:pPr>
        <w:jc w:val="both"/>
        <w:rPr>
          <w:rFonts w:ascii="Times New Roman" w:hAnsi="Times New Roman" w:cs="Times New Roman"/>
          <w:sz w:val="24"/>
          <w:szCs w:val="24"/>
        </w:rPr>
      </w:pPr>
      <w:r w:rsidRPr="00EB06F7">
        <w:rPr>
          <w:rFonts w:ascii="Times New Roman" w:hAnsi="Times New Roman" w:cs="Times New Roman"/>
          <w:sz w:val="24"/>
          <w:szCs w:val="24"/>
        </w:rPr>
        <w:t xml:space="preserve">Men spreekt in het Nederlandse </w:t>
      </w:r>
      <w:r w:rsidR="00932FBD" w:rsidRPr="00EB06F7">
        <w:rPr>
          <w:rFonts w:ascii="Times New Roman" w:hAnsi="Times New Roman" w:cs="Times New Roman"/>
          <w:sz w:val="24"/>
          <w:szCs w:val="24"/>
        </w:rPr>
        <w:t xml:space="preserve">betaalde </w:t>
      </w:r>
      <w:r w:rsidRPr="00EB06F7">
        <w:rPr>
          <w:rFonts w:ascii="Times New Roman" w:hAnsi="Times New Roman" w:cs="Times New Roman"/>
          <w:sz w:val="24"/>
          <w:szCs w:val="24"/>
        </w:rPr>
        <w:t>voetbal vaak over de traditionele top drie. In alfabetische volgorde bestaat deze uit het Amsterdamse Ajax, het Rotterdamse Feyenoord en de Philips Sportvereniging (PSV) uit Eindhoven. Pas sinds 1956 kent het betaalde voetbal in ons land één ongedeelde afdeling op het hoogste niveau, de eredivisie. Ondertussen is dus 57 keer een club als winnaar van de eredivisie tot landskampioen gekroond. Dez</w:t>
      </w:r>
      <w:r w:rsidR="00932FBD" w:rsidRPr="00EB06F7">
        <w:rPr>
          <w:rFonts w:ascii="Times New Roman" w:hAnsi="Times New Roman" w:cs="Times New Roman"/>
          <w:sz w:val="24"/>
          <w:szCs w:val="24"/>
        </w:rPr>
        <w:t>e eer ging 24 maal naar Ajax, 18</w:t>
      </w:r>
      <w:r w:rsidRPr="00EB06F7">
        <w:rPr>
          <w:rFonts w:ascii="Times New Roman" w:hAnsi="Times New Roman" w:cs="Times New Roman"/>
          <w:sz w:val="24"/>
          <w:szCs w:val="24"/>
        </w:rPr>
        <w:t xml:space="preserve"> keer naar PSV en negen maal naar Feyenoord. De top drie is dus goed voor </w:t>
      </w:r>
      <w:r w:rsidR="00993DF3">
        <w:rPr>
          <w:rFonts w:ascii="Times New Roman" w:hAnsi="Times New Roman" w:cs="Times New Roman"/>
          <w:sz w:val="24"/>
          <w:szCs w:val="24"/>
        </w:rPr>
        <w:t>bijna negentig</w:t>
      </w:r>
      <w:r w:rsidRPr="00EB06F7">
        <w:rPr>
          <w:rFonts w:ascii="Times New Roman" w:hAnsi="Times New Roman" w:cs="Times New Roman"/>
          <w:sz w:val="24"/>
          <w:szCs w:val="24"/>
        </w:rPr>
        <w:t xml:space="preserve"> procent van de landstitels. Het toernooi om de KNVB-beker is sinds 1956 zesenvijftig keer georganiseerd. Ajax won 16 keer, Feyenoord zegevierde negen maal, terwijl PSV acht keer triomfeerde. Van alle bekerzeges sinds de invoering van de eredivisie ging dus </w:t>
      </w:r>
      <w:r w:rsidR="00993DF3">
        <w:rPr>
          <w:rFonts w:ascii="Times New Roman" w:hAnsi="Times New Roman" w:cs="Times New Roman"/>
          <w:sz w:val="24"/>
          <w:szCs w:val="24"/>
        </w:rPr>
        <w:t>bijna zestig</w:t>
      </w:r>
      <w:r w:rsidRPr="00EB06F7">
        <w:rPr>
          <w:rFonts w:ascii="Times New Roman" w:hAnsi="Times New Roman" w:cs="Times New Roman"/>
          <w:sz w:val="24"/>
          <w:szCs w:val="24"/>
        </w:rPr>
        <w:t xml:space="preserve"> procent naar de ‘grote drie’. Ajax, Feyenoord en PSV zijn vooral ook de enige Nederlandse clubs met Europese prijzen op hun palmares. Bovendien komen alleen deze drie clubs sinds 1956 ononderbroken in de eredivisie uit. Dit geldt overigens ook voor FC Utrecht (1970–2013), mits men bereid is Door Oefening Sterk (DOS; 1956–1970)</w:t>
      </w:r>
      <w:r w:rsidR="00932FBD" w:rsidRPr="00EB06F7">
        <w:rPr>
          <w:rFonts w:ascii="Times New Roman" w:hAnsi="Times New Roman" w:cs="Times New Roman"/>
          <w:sz w:val="24"/>
          <w:szCs w:val="24"/>
        </w:rPr>
        <w:t xml:space="preserve"> mee te nemen</w:t>
      </w:r>
      <w:r w:rsidRPr="00EB06F7">
        <w:rPr>
          <w:rFonts w:ascii="Times New Roman" w:hAnsi="Times New Roman" w:cs="Times New Roman"/>
          <w:sz w:val="24"/>
          <w:szCs w:val="24"/>
        </w:rPr>
        <w:t>, één van de rechtsvoorgangers.</w:t>
      </w:r>
      <w:r w:rsidRPr="00EB06F7">
        <w:rPr>
          <w:rStyle w:val="Voetnootmarkering"/>
          <w:rFonts w:ascii="Times New Roman" w:hAnsi="Times New Roman" w:cs="Times New Roman"/>
          <w:sz w:val="24"/>
          <w:szCs w:val="24"/>
        </w:rPr>
        <w:footnoteReference w:id="1"/>
      </w:r>
      <w:r w:rsidRPr="00EB06F7">
        <w:rPr>
          <w:rFonts w:ascii="Times New Roman" w:hAnsi="Times New Roman" w:cs="Times New Roman"/>
          <w:sz w:val="24"/>
          <w:szCs w:val="24"/>
        </w:rPr>
        <w:t xml:space="preserve"> </w:t>
      </w:r>
    </w:p>
    <w:p w14:paraId="33A0DA6D" w14:textId="77777777" w:rsidR="005353F2" w:rsidRPr="00EB06F7" w:rsidRDefault="007F59B8">
      <w:pPr>
        <w:jc w:val="both"/>
        <w:rPr>
          <w:rFonts w:ascii="Times New Roman" w:hAnsi="Times New Roman" w:cs="Times New Roman"/>
          <w:b/>
          <w:bCs/>
          <w:sz w:val="20"/>
          <w:szCs w:val="20"/>
        </w:rPr>
      </w:pPr>
      <w:r>
        <w:rPr>
          <w:rFonts w:ascii="Times New Roman" w:hAnsi="Times New Roman" w:cs="Times New Roman"/>
          <w:sz w:val="24"/>
          <w:szCs w:val="24"/>
        </w:rPr>
        <w:t>Uit een in juni 201</w:t>
      </w:r>
      <w:bookmarkStart w:id="0" w:name="_GoBack"/>
      <w:bookmarkEnd w:id="0"/>
      <w:r w:rsidR="0070750B" w:rsidRPr="00EB06F7">
        <w:rPr>
          <w:rFonts w:ascii="Times New Roman" w:hAnsi="Times New Roman" w:cs="Times New Roman"/>
          <w:sz w:val="24"/>
          <w:szCs w:val="24"/>
        </w:rPr>
        <w:t>3 gehouden enquête van CentER</w:t>
      </w:r>
      <w:r w:rsidR="002030DB">
        <w:rPr>
          <w:rFonts w:ascii="Times New Roman" w:hAnsi="Times New Roman" w:cs="Times New Roman"/>
          <w:sz w:val="24"/>
          <w:szCs w:val="24"/>
        </w:rPr>
        <w:t>d</w:t>
      </w:r>
      <w:r w:rsidR="0070750B" w:rsidRPr="00EB06F7">
        <w:rPr>
          <w:rFonts w:ascii="Times New Roman" w:hAnsi="Times New Roman" w:cs="Times New Roman"/>
          <w:sz w:val="24"/>
          <w:szCs w:val="24"/>
        </w:rPr>
        <w:t xml:space="preserve">ata blijkt dan ook dat Ajax, Feyenoord en PSV van alle betaald voetbal organisaties (BVO’s) verreweg de grootste aanhang </w:t>
      </w:r>
      <w:r w:rsidR="008A251D" w:rsidRPr="00EB06F7">
        <w:rPr>
          <w:rFonts w:ascii="Times New Roman" w:hAnsi="Times New Roman" w:cs="Times New Roman"/>
          <w:sz w:val="24"/>
          <w:szCs w:val="24"/>
        </w:rPr>
        <w:t xml:space="preserve">hebben. </w:t>
      </w:r>
      <w:r w:rsidR="0070750B" w:rsidRPr="00EB06F7">
        <w:rPr>
          <w:rFonts w:ascii="Times New Roman" w:hAnsi="Times New Roman" w:cs="Times New Roman"/>
          <w:sz w:val="24"/>
          <w:szCs w:val="24"/>
        </w:rPr>
        <w:t>Als enige BVO’s lijken zij het niveau te ontstijgen waarbij de aanhang beperkt blijft tot de ‘eigen’ regio. Zoals Tabel 1 laat zien is bijna twee op de drie mannelijk</w:t>
      </w:r>
      <w:r w:rsidR="00863695" w:rsidRPr="00EB06F7">
        <w:rPr>
          <w:rFonts w:ascii="Times New Roman" w:hAnsi="Times New Roman" w:cs="Times New Roman"/>
          <w:sz w:val="24"/>
          <w:szCs w:val="24"/>
        </w:rPr>
        <w:t>e</w:t>
      </w:r>
      <w:r w:rsidR="0070750B" w:rsidRPr="00EB06F7">
        <w:rPr>
          <w:rFonts w:ascii="Times New Roman" w:hAnsi="Times New Roman" w:cs="Times New Roman"/>
          <w:sz w:val="24"/>
          <w:szCs w:val="24"/>
        </w:rPr>
        <w:t xml:space="preserve"> supporters </w:t>
      </w:r>
      <w:r w:rsidR="00932FBD" w:rsidRPr="00EB06F7">
        <w:rPr>
          <w:rFonts w:ascii="Times New Roman" w:hAnsi="Times New Roman" w:cs="Times New Roman"/>
          <w:sz w:val="24"/>
          <w:szCs w:val="24"/>
        </w:rPr>
        <w:t>aanhanger</w:t>
      </w:r>
      <w:r w:rsidR="000503D3" w:rsidRPr="00EB06F7">
        <w:rPr>
          <w:rFonts w:ascii="Times New Roman" w:hAnsi="Times New Roman" w:cs="Times New Roman"/>
          <w:sz w:val="24"/>
          <w:szCs w:val="24"/>
        </w:rPr>
        <w:t xml:space="preserve"> van éé</w:t>
      </w:r>
      <w:r w:rsidR="0070750B" w:rsidRPr="00EB06F7">
        <w:rPr>
          <w:rFonts w:ascii="Times New Roman" w:hAnsi="Times New Roman" w:cs="Times New Roman"/>
          <w:sz w:val="24"/>
          <w:szCs w:val="24"/>
        </w:rPr>
        <w:t>n van de grote drie</w:t>
      </w:r>
      <w:r w:rsidR="000503D3" w:rsidRPr="00EB06F7">
        <w:rPr>
          <w:rFonts w:ascii="Times New Roman" w:hAnsi="Times New Roman" w:cs="Times New Roman"/>
          <w:sz w:val="24"/>
          <w:szCs w:val="24"/>
        </w:rPr>
        <w:t xml:space="preserve"> BVO’s</w:t>
      </w:r>
      <w:r w:rsidR="0070750B" w:rsidRPr="00EB06F7">
        <w:rPr>
          <w:rFonts w:ascii="Times New Roman" w:hAnsi="Times New Roman" w:cs="Times New Roman"/>
          <w:sz w:val="24"/>
          <w:szCs w:val="24"/>
        </w:rPr>
        <w:t xml:space="preserve">. Bij vrouwen is dat drie op de vier, waarbij aangetekend moet worden dat ruim 30 procent van de mannen supporter is en slechts 12,6 procent van de vrouwen. </w:t>
      </w:r>
    </w:p>
    <w:p w14:paraId="3CE8487C" w14:textId="77777777" w:rsidR="005353F2" w:rsidRPr="00993DF3" w:rsidRDefault="0070750B">
      <w:pPr>
        <w:rPr>
          <w:sz w:val="24"/>
          <w:szCs w:val="24"/>
        </w:rPr>
      </w:pPr>
      <w:r w:rsidRPr="00993DF3">
        <w:rPr>
          <w:rFonts w:ascii="Times New Roman" w:hAnsi="Times New Roman" w:cs="Times New Roman"/>
          <w:b/>
          <w:bCs/>
          <w:sz w:val="24"/>
          <w:szCs w:val="24"/>
        </w:rPr>
        <w:t>Tabel 1 Bent u supporter van een club in het betaald voetbal (%)</w:t>
      </w:r>
    </w:p>
    <w:tbl>
      <w:tblPr>
        <w:tblW w:w="0" w:type="auto"/>
        <w:tblLayout w:type="fixed"/>
        <w:tblCellMar>
          <w:top w:w="57" w:type="dxa"/>
          <w:left w:w="57" w:type="dxa"/>
          <w:bottom w:w="57" w:type="dxa"/>
          <w:right w:w="57" w:type="dxa"/>
        </w:tblCellMar>
        <w:tblLook w:val="0000" w:firstRow="0" w:lastRow="0" w:firstColumn="0" w:lastColumn="0" w:noHBand="0" w:noVBand="0"/>
      </w:tblPr>
      <w:tblGrid>
        <w:gridCol w:w="977"/>
        <w:gridCol w:w="1487"/>
        <w:gridCol w:w="849"/>
        <w:gridCol w:w="1024"/>
      </w:tblGrid>
      <w:tr w:rsidR="005353F2" w:rsidRPr="00993DF3" w14:paraId="652761D8" w14:textId="77777777">
        <w:tc>
          <w:tcPr>
            <w:tcW w:w="977" w:type="dxa"/>
            <w:tcBorders>
              <w:bottom w:val="single" w:sz="1" w:space="0" w:color="000000"/>
            </w:tcBorders>
            <w:shd w:val="clear" w:color="auto" w:fill="FFFFFF"/>
          </w:tcPr>
          <w:p w14:paraId="3631A26D" w14:textId="77777777" w:rsidR="005353F2" w:rsidRPr="00993DF3" w:rsidRDefault="005353F2">
            <w:pPr>
              <w:snapToGrid w:val="0"/>
              <w:spacing w:after="0" w:line="100" w:lineRule="atLeast"/>
              <w:rPr>
                <w:sz w:val="24"/>
                <w:szCs w:val="24"/>
              </w:rPr>
            </w:pPr>
          </w:p>
        </w:tc>
        <w:tc>
          <w:tcPr>
            <w:tcW w:w="1487" w:type="dxa"/>
            <w:tcBorders>
              <w:bottom w:val="single" w:sz="1" w:space="0" w:color="000000"/>
            </w:tcBorders>
            <w:shd w:val="clear" w:color="auto" w:fill="FFFFFF"/>
          </w:tcPr>
          <w:p w14:paraId="29310039" w14:textId="77777777" w:rsidR="005353F2" w:rsidRPr="00993DF3" w:rsidRDefault="005353F2">
            <w:pPr>
              <w:snapToGrid w:val="0"/>
              <w:spacing w:after="0" w:line="100" w:lineRule="atLeast"/>
              <w:rPr>
                <w:rFonts w:ascii="Times New Roman" w:hAnsi="Times New Roman" w:cs="Times New Roman"/>
                <w:b/>
                <w:bCs/>
                <w:sz w:val="24"/>
                <w:szCs w:val="24"/>
              </w:rPr>
            </w:pPr>
          </w:p>
        </w:tc>
        <w:tc>
          <w:tcPr>
            <w:tcW w:w="849" w:type="dxa"/>
            <w:tcBorders>
              <w:left w:val="single" w:sz="1" w:space="0" w:color="000000"/>
              <w:bottom w:val="single" w:sz="1" w:space="0" w:color="000000"/>
            </w:tcBorders>
            <w:shd w:val="clear" w:color="auto" w:fill="FFFFFF"/>
          </w:tcPr>
          <w:p w14:paraId="57E24F44" w14:textId="77777777" w:rsidR="005353F2" w:rsidRPr="00993DF3" w:rsidRDefault="0070750B">
            <w:pPr>
              <w:spacing w:after="0" w:line="100" w:lineRule="atLeast"/>
              <w:jc w:val="center"/>
              <w:rPr>
                <w:rFonts w:ascii="Times New Roman" w:hAnsi="Times New Roman" w:cs="Times New Roman"/>
                <w:b/>
                <w:bCs/>
                <w:sz w:val="24"/>
                <w:szCs w:val="24"/>
              </w:rPr>
            </w:pPr>
            <w:r w:rsidRPr="00993DF3">
              <w:rPr>
                <w:rFonts w:ascii="Times New Roman" w:hAnsi="Times New Roman" w:cs="Times New Roman"/>
                <w:b/>
                <w:bCs/>
                <w:sz w:val="24"/>
                <w:szCs w:val="24"/>
              </w:rPr>
              <w:t>Man</w:t>
            </w:r>
          </w:p>
        </w:tc>
        <w:tc>
          <w:tcPr>
            <w:tcW w:w="1024" w:type="dxa"/>
            <w:tcBorders>
              <w:left w:val="single" w:sz="1" w:space="0" w:color="000000"/>
              <w:bottom w:val="single" w:sz="1" w:space="0" w:color="000000"/>
            </w:tcBorders>
            <w:shd w:val="clear" w:color="auto" w:fill="FFFFFF"/>
          </w:tcPr>
          <w:p w14:paraId="2007C543" w14:textId="77777777" w:rsidR="005353F2" w:rsidRPr="00993DF3" w:rsidRDefault="0070750B">
            <w:pPr>
              <w:spacing w:after="0" w:line="100" w:lineRule="atLeast"/>
              <w:jc w:val="center"/>
              <w:rPr>
                <w:rFonts w:ascii="Times New Roman" w:hAnsi="Times New Roman" w:cs="Times New Roman"/>
                <w:b/>
                <w:bCs/>
                <w:sz w:val="24"/>
                <w:szCs w:val="24"/>
              </w:rPr>
            </w:pPr>
            <w:r w:rsidRPr="00993DF3">
              <w:rPr>
                <w:rFonts w:ascii="Times New Roman" w:hAnsi="Times New Roman" w:cs="Times New Roman"/>
                <w:b/>
                <w:bCs/>
                <w:sz w:val="24"/>
                <w:szCs w:val="24"/>
              </w:rPr>
              <w:t>Vrouw</w:t>
            </w:r>
          </w:p>
        </w:tc>
      </w:tr>
      <w:tr w:rsidR="005353F2" w:rsidRPr="00993DF3" w14:paraId="5925CABA" w14:textId="77777777">
        <w:tc>
          <w:tcPr>
            <w:tcW w:w="977" w:type="dxa"/>
            <w:shd w:val="clear" w:color="auto" w:fill="FFFFFF"/>
          </w:tcPr>
          <w:p w14:paraId="32E198C0" w14:textId="77777777" w:rsidR="005353F2" w:rsidRPr="00993DF3" w:rsidRDefault="0070750B">
            <w:pPr>
              <w:spacing w:after="0" w:line="100" w:lineRule="atLeast"/>
              <w:rPr>
                <w:rFonts w:ascii="Times New Roman" w:hAnsi="Times New Roman" w:cs="Times New Roman"/>
                <w:b/>
                <w:bCs/>
                <w:sz w:val="24"/>
                <w:szCs w:val="24"/>
              </w:rPr>
            </w:pPr>
            <w:r w:rsidRPr="00993DF3">
              <w:rPr>
                <w:rFonts w:ascii="Times New Roman" w:hAnsi="Times New Roman" w:cs="Times New Roman"/>
                <w:b/>
                <w:bCs/>
                <w:sz w:val="24"/>
                <w:szCs w:val="24"/>
              </w:rPr>
              <w:t>Ja, van</w:t>
            </w:r>
          </w:p>
        </w:tc>
        <w:tc>
          <w:tcPr>
            <w:tcW w:w="1487" w:type="dxa"/>
            <w:shd w:val="clear" w:color="auto" w:fill="FFFFFF"/>
          </w:tcPr>
          <w:p w14:paraId="13ADCC34" w14:textId="77777777" w:rsidR="005353F2" w:rsidRPr="00993DF3" w:rsidRDefault="0070750B">
            <w:pPr>
              <w:spacing w:after="0" w:line="100" w:lineRule="atLeast"/>
              <w:rPr>
                <w:rFonts w:ascii="Times New Roman" w:hAnsi="Times New Roman" w:cs="Times New Roman"/>
                <w:sz w:val="24"/>
                <w:szCs w:val="24"/>
              </w:rPr>
            </w:pPr>
            <w:r w:rsidRPr="00993DF3">
              <w:rPr>
                <w:rFonts w:ascii="Times New Roman" w:hAnsi="Times New Roman" w:cs="Times New Roman"/>
                <w:b/>
                <w:bCs/>
                <w:sz w:val="24"/>
                <w:szCs w:val="24"/>
              </w:rPr>
              <w:t>Ajax</w:t>
            </w:r>
          </w:p>
        </w:tc>
        <w:tc>
          <w:tcPr>
            <w:tcW w:w="849" w:type="dxa"/>
            <w:tcBorders>
              <w:left w:val="single" w:sz="1" w:space="0" w:color="000000"/>
            </w:tcBorders>
            <w:shd w:val="clear" w:color="auto" w:fill="FFFFFF"/>
          </w:tcPr>
          <w:p w14:paraId="0D7FA130" w14:textId="77777777" w:rsidR="005353F2" w:rsidRPr="00993DF3" w:rsidRDefault="0070750B">
            <w:pPr>
              <w:spacing w:after="0" w:line="100" w:lineRule="atLeast"/>
              <w:jc w:val="center"/>
              <w:rPr>
                <w:rFonts w:ascii="Times New Roman" w:hAnsi="Times New Roman" w:cs="Times New Roman"/>
                <w:sz w:val="24"/>
                <w:szCs w:val="24"/>
              </w:rPr>
            </w:pPr>
            <w:r w:rsidRPr="00993DF3">
              <w:rPr>
                <w:rFonts w:ascii="Times New Roman" w:hAnsi="Times New Roman" w:cs="Times New Roman"/>
                <w:sz w:val="24"/>
                <w:szCs w:val="24"/>
              </w:rPr>
              <w:t>9,6</w:t>
            </w:r>
          </w:p>
        </w:tc>
        <w:tc>
          <w:tcPr>
            <w:tcW w:w="1024" w:type="dxa"/>
            <w:tcBorders>
              <w:left w:val="single" w:sz="1" w:space="0" w:color="000000"/>
            </w:tcBorders>
            <w:shd w:val="clear" w:color="auto" w:fill="FFFFFF"/>
          </w:tcPr>
          <w:p w14:paraId="74576E0C" w14:textId="77777777" w:rsidR="005353F2" w:rsidRPr="00993DF3" w:rsidRDefault="0070750B">
            <w:pPr>
              <w:spacing w:after="0" w:line="100" w:lineRule="atLeast"/>
              <w:jc w:val="center"/>
              <w:rPr>
                <w:rFonts w:ascii="Times New Roman" w:hAnsi="Times New Roman" w:cs="Times New Roman"/>
                <w:b/>
                <w:bCs/>
                <w:sz w:val="24"/>
                <w:szCs w:val="24"/>
              </w:rPr>
            </w:pPr>
            <w:r w:rsidRPr="00993DF3">
              <w:rPr>
                <w:rFonts w:ascii="Times New Roman" w:hAnsi="Times New Roman" w:cs="Times New Roman"/>
                <w:sz w:val="24"/>
                <w:szCs w:val="24"/>
              </w:rPr>
              <w:t>3,9</w:t>
            </w:r>
          </w:p>
        </w:tc>
      </w:tr>
      <w:tr w:rsidR="005353F2" w:rsidRPr="00993DF3" w14:paraId="419D511F" w14:textId="77777777">
        <w:tc>
          <w:tcPr>
            <w:tcW w:w="977" w:type="dxa"/>
            <w:shd w:val="clear" w:color="auto" w:fill="FFFFFF"/>
          </w:tcPr>
          <w:p w14:paraId="19DF31E4" w14:textId="77777777" w:rsidR="005353F2" w:rsidRPr="00993DF3" w:rsidRDefault="005353F2">
            <w:pPr>
              <w:snapToGrid w:val="0"/>
              <w:spacing w:after="0" w:line="100" w:lineRule="atLeast"/>
              <w:rPr>
                <w:rFonts w:ascii="Times New Roman" w:hAnsi="Times New Roman" w:cs="Times New Roman"/>
                <w:b/>
                <w:bCs/>
                <w:sz w:val="24"/>
                <w:szCs w:val="24"/>
              </w:rPr>
            </w:pPr>
          </w:p>
        </w:tc>
        <w:tc>
          <w:tcPr>
            <w:tcW w:w="1487" w:type="dxa"/>
            <w:shd w:val="clear" w:color="auto" w:fill="FFFFFF"/>
          </w:tcPr>
          <w:p w14:paraId="2289B605" w14:textId="77777777" w:rsidR="005353F2" w:rsidRPr="00993DF3" w:rsidRDefault="0070750B">
            <w:pPr>
              <w:spacing w:after="0" w:line="100" w:lineRule="atLeast"/>
              <w:rPr>
                <w:rFonts w:ascii="Times New Roman" w:hAnsi="Times New Roman" w:cs="Times New Roman"/>
                <w:sz w:val="24"/>
                <w:szCs w:val="24"/>
              </w:rPr>
            </w:pPr>
            <w:r w:rsidRPr="00993DF3">
              <w:rPr>
                <w:rFonts w:ascii="Times New Roman" w:hAnsi="Times New Roman" w:cs="Times New Roman"/>
                <w:b/>
                <w:bCs/>
                <w:sz w:val="24"/>
                <w:szCs w:val="24"/>
              </w:rPr>
              <w:t>Feyenoord</w:t>
            </w:r>
          </w:p>
        </w:tc>
        <w:tc>
          <w:tcPr>
            <w:tcW w:w="849" w:type="dxa"/>
            <w:tcBorders>
              <w:left w:val="single" w:sz="1" w:space="0" w:color="000000"/>
            </w:tcBorders>
            <w:shd w:val="clear" w:color="auto" w:fill="FFFFFF"/>
          </w:tcPr>
          <w:p w14:paraId="1818AE84" w14:textId="77777777" w:rsidR="005353F2" w:rsidRPr="00993DF3" w:rsidRDefault="0070750B">
            <w:pPr>
              <w:spacing w:after="0" w:line="100" w:lineRule="atLeast"/>
              <w:jc w:val="center"/>
              <w:rPr>
                <w:rFonts w:ascii="Times New Roman" w:hAnsi="Times New Roman" w:cs="Times New Roman"/>
                <w:sz w:val="24"/>
                <w:szCs w:val="24"/>
              </w:rPr>
            </w:pPr>
            <w:r w:rsidRPr="00993DF3">
              <w:rPr>
                <w:rFonts w:ascii="Times New Roman" w:hAnsi="Times New Roman" w:cs="Times New Roman"/>
                <w:sz w:val="24"/>
                <w:szCs w:val="24"/>
              </w:rPr>
              <w:t>6,3</w:t>
            </w:r>
          </w:p>
        </w:tc>
        <w:tc>
          <w:tcPr>
            <w:tcW w:w="1024" w:type="dxa"/>
            <w:tcBorders>
              <w:left w:val="single" w:sz="1" w:space="0" w:color="000000"/>
            </w:tcBorders>
            <w:shd w:val="clear" w:color="auto" w:fill="FFFFFF"/>
          </w:tcPr>
          <w:p w14:paraId="05EBC97C" w14:textId="77777777" w:rsidR="005353F2" w:rsidRPr="00993DF3" w:rsidRDefault="0070750B">
            <w:pPr>
              <w:spacing w:after="0" w:line="100" w:lineRule="atLeast"/>
              <w:jc w:val="center"/>
              <w:rPr>
                <w:rFonts w:ascii="Times New Roman" w:hAnsi="Times New Roman" w:cs="Times New Roman"/>
                <w:b/>
                <w:bCs/>
                <w:sz w:val="24"/>
                <w:szCs w:val="24"/>
              </w:rPr>
            </w:pPr>
            <w:r w:rsidRPr="00993DF3">
              <w:rPr>
                <w:rFonts w:ascii="Times New Roman" w:hAnsi="Times New Roman" w:cs="Times New Roman"/>
                <w:sz w:val="24"/>
                <w:szCs w:val="24"/>
              </w:rPr>
              <w:t>3,6</w:t>
            </w:r>
          </w:p>
        </w:tc>
      </w:tr>
      <w:tr w:rsidR="005353F2" w:rsidRPr="00993DF3" w14:paraId="6B2BAD91" w14:textId="77777777">
        <w:tc>
          <w:tcPr>
            <w:tcW w:w="977" w:type="dxa"/>
            <w:shd w:val="clear" w:color="auto" w:fill="FFFFFF"/>
          </w:tcPr>
          <w:p w14:paraId="4B3DD925" w14:textId="77777777" w:rsidR="005353F2" w:rsidRPr="00993DF3" w:rsidRDefault="005353F2">
            <w:pPr>
              <w:snapToGrid w:val="0"/>
              <w:spacing w:after="0" w:line="100" w:lineRule="atLeast"/>
              <w:rPr>
                <w:rFonts w:ascii="Times New Roman" w:hAnsi="Times New Roman" w:cs="Times New Roman"/>
                <w:b/>
                <w:bCs/>
                <w:sz w:val="24"/>
                <w:szCs w:val="24"/>
              </w:rPr>
            </w:pPr>
          </w:p>
        </w:tc>
        <w:tc>
          <w:tcPr>
            <w:tcW w:w="1487" w:type="dxa"/>
            <w:shd w:val="clear" w:color="auto" w:fill="FFFFFF"/>
          </w:tcPr>
          <w:p w14:paraId="1EC033D7" w14:textId="77777777" w:rsidR="005353F2" w:rsidRPr="00993DF3" w:rsidRDefault="0070750B">
            <w:pPr>
              <w:spacing w:after="0" w:line="100" w:lineRule="atLeast"/>
              <w:rPr>
                <w:rFonts w:ascii="Times New Roman" w:hAnsi="Times New Roman" w:cs="Times New Roman"/>
                <w:sz w:val="24"/>
                <w:szCs w:val="24"/>
              </w:rPr>
            </w:pPr>
            <w:r w:rsidRPr="00993DF3">
              <w:rPr>
                <w:rFonts w:ascii="Times New Roman" w:hAnsi="Times New Roman" w:cs="Times New Roman"/>
                <w:b/>
                <w:bCs/>
                <w:sz w:val="24"/>
                <w:szCs w:val="24"/>
              </w:rPr>
              <w:t>PSV</w:t>
            </w:r>
          </w:p>
        </w:tc>
        <w:tc>
          <w:tcPr>
            <w:tcW w:w="849" w:type="dxa"/>
            <w:tcBorders>
              <w:left w:val="single" w:sz="1" w:space="0" w:color="000000"/>
            </w:tcBorders>
            <w:shd w:val="clear" w:color="auto" w:fill="FFFFFF"/>
          </w:tcPr>
          <w:p w14:paraId="4E9178F3" w14:textId="77777777" w:rsidR="005353F2" w:rsidRPr="00993DF3" w:rsidRDefault="0070750B">
            <w:pPr>
              <w:spacing w:after="0" w:line="100" w:lineRule="atLeast"/>
              <w:jc w:val="center"/>
              <w:rPr>
                <w:rFonts w:ascii="Times New Roman" w:hAnsi="Times New Roman" w:cs="Times New Roman"/>
                <w:sz w:val="24"/>
                <w:szCs w:val="24"/>
              </w:rPr>
            </w:pPr>
            <w:r w:rsidRPr="00993DF3">
              <w:rPr>
                <w:rFonts w:ascii="Times New Roman" w:hAnsi="Times New Roman" w:cs="Times New Roman"/>
                <w:sz w:val="24"/>
                <w:szCs w:val="24"/>
              </w:rPr>
              <w:t>3,6</w:t>
            </w:r>
          </w:p>
        </w:tc>
        <w:tc>
          <w:tcPr>
            <w:tcW w:w="1024" w:type="dxa"/>
            <w:tcBorders>
              <w:left w:val="single" w:sz="1" w:space="0" w:color="000000"/>
            </w:tcBorders>
            <w:shd w:val="clear" w:color="auto" w:fill="FFFFFF"/>
          </w:tcPr>
          <w:p w14:paraId="3DD9E4CF" w14:textId="77777777" w:rsidR="005353F2" w:rsidRPr="00993DF3" w:rsidRDefault="0070750B">
            <w:pPr>
              <w:spacing w:after="0" w:line="100" w:lineRule="atLeast"/>
              <w:jc w:val="center"/>
              <w:rPr>
                <w:rFonts w:ascii="Times New Roman" w:hAnsi="Times New Roman" w:cs="Times New Roman"/>
                <w:b/>
                <w:bCs/>
                <w:sz w:val="24"/>
                <w:szCs w:val="24"/>
              </w:rPr>
            </w:pPr>
            <w:r w:rsidRPr="00993DF3">
              <w:rPr>
                <w:rFonts w:ascii="Times New Roman" w:hAnsi="Times New Roman" w:cs="Times New Roman"/>
                <w:sz w:val="24"/>
                <w:szCs w:val="24"/>
              </w:rPr>
              <w:t>1,4</w:t>
            </w:r>
          </w:p>
        </w:tc>
      </w:tr>
      <w:tr w:rsidR="005353F2" w:rsidRPr="00993DF3" w14:paraId="453B494C" w14:textId="77777777">
        <w:tc>
          <w:tcPr>
            <w:tcW w:w="977" w:type="dxa"/>
            <w:shd w:val="clear" w:color="auto" w:fill="FFFFFF"/>
          </w:tcPr>
          <w:p w14:paraId="05AE81C0" w14:textId="77777777" w:rsidR="005353F2" w:rsidRPr="00993DF3" w:rsidRDefault="005353F2">
            <w:pPr>
              <w:snapToGrid w:val="0"/>
              <w:spacing w:after="0" w:line="100" w:lineRule="atLeast"/>
              <w:rPr>
                <w:rFonts w:ascii="Times New Roman" w:hAnsi="Times New Roman" w:cs="Times New Roman"/>
                <w:b/>
                <w:bCs/>
                <w:sz w:val="24"/>
                <w:szCs w:val="24"/>
              </w:rPr>
            </w:pPr>
          </w:p>
        </w:tc>
        <w:tc>
          <w:tcPr>
            <w:tcW w:w="1487" w:type="dxa"/>
            <w:shd w:val="clear" w:color="auto" w:fill="FFFFFF"/>
          </w:tcPr>
          <w:p w14:paraId="12B44FC9" w14:textId="77777777" w:rsidR="005353F2" w:rsidRPr="00993DF3" w:rsidRDefault="0070750B">
            <w:pPr>
              <w:spacing w:after="0" w:line="100" w:lineRule="atLeast"/>
              <w:rPr>
                <w:rFonts w:ascii="Times New Roman" w:hAnsi="Times New Roman" w:cs="Times New Roman"/>
                <w:sz w:val="24"/>
                <w:szCs w:val="24"/>
              </w:rPr>
            </w:pPr>
            <w:r w:rsidRPr="00993DF3">
              <w:rPr>
                <w:rFonts w:ascii="Times New Roman" w:hAnsi="Times New Roman" w:cs="Times New Roman"/>
                <w:b/>
                <w:bCs/>
                <w:sz w:val="24"/>
                <w:szCs w:val="24"/>
              </w:rPr>
              <w:t>Andere club</w:t>
            </w:r>
          </w:p>
        </w:tc>
        <w:tc>
          <w:tcPr>
            <w:tcW w:w="849" w:type="dxa"/>
            <w:tcBorders>
              <w:left w:val="single" w:sz="1" w:space="0" w:color="000000"/>
            </w:tcBorders>
            <w:shd w:val="clear" w:color="auto" w:fill="FFFFFF"/>
          </w:tcPr>
          <w:p w14:paraId="2A658BDE" w14:textId="77777777" w:rsidR="005353F2" w:rsidRPr="00993DF3" w:rsidRDefault="0070750B">
            <w:pPr>
              <w:spacing w:after="0" w:line="100" w:lineRule="atLeast"/>
              <w:jc w:val="center"/>
              <w:rPr>
                <w:rFonts w:ascii="Times New Roman" w:hAnsi="Times New Roman" w:cs="Times New Roman"/>
                <w:sz w:val="24"/>
                <w:szCs w:val="24"/>
              </w:rPr>
            </w:pPr>
            <w:r w:rsidRPr="00993DF3">
              <w:rPr>
                <w:rFonts w:ascii="Times New Roman" w:hAnsi="Times New Roman" w:cs="Times New Roman"/>
                <w:sz w:val="24"/>
                <w:szCs w:val="24"/>
              </w:rPr>
              <w:t>11,2</w:t>
            </w:r>
          </w:p>
        </w:tc>
        <w:tc>
          <w:tcPr>
            <w:tcW w:w="1024" w:type="dxa"/>
            <w:tcBorders>
              <w:left w:val="single" w:sz="1" w:space="0" w:color="000000"/>
            </w:tcBorders>
            <w:shd w:val="clear" w:color="auto" w:fill="FFFFFF"/>
          </w:tcPr>
          <w:p w14:paraId="14B37FD2" w14:textId="77777777" w:rsidR="005353F2" w:rsidRPr="00993DF3" w:rsidRDefault="0070750B">
            <w:pPr>
              <w:spacing w:after="0" w:line="100" w:lineRule="atLeast"/>
              <w:jc w:val="center"/>
              <w:rPr>
                <w:rFonts w:ascii="Times New Roman" w:hAnsi="Times New Roman" w:cs="Times New Roman"/>
                <w:b/>
                <w:bCs/>
                <w:sz w:val="24"/>
                <w:szCs w:val="24"/>
              </w:rPr>
            </w:pPr>
            <w:r w:rsidRPr="00993DF3">
              <w:rPr>
                <w:rFonts w:ascii="Times New Roman" w:hAnsi="Times New Roman" w:cs="Times New Roman"/>
                <w:sz w:val="24"/>
                <w:szCs w:val="24"/>
              </w:rPr>
              <w:t>3,7</w:t>
            </w:r>
          </w:p>
        </w:tc>
      </w:tr>
      <w:tr w:rsidR="005353F2" w:rsidRPr="00993DF3" w14:paraId="2B2ABC4A" w14:textId="77777777">
        <w:tc>
          <w:tcPr>
            <w:tcW w:w="977" w:type="dxa"/>
            <w:shd w:val="clear" w:color="auto" w:fill="FFFFFF"/>
          </w:tcPr>
          <w:p w14:paraId="0E77B052" w14:textId="77777777" w:rsidR="005353F2" w:rsidRPr="00993DF3" w:rsidRDefault="005353F2">
            <w:pPr>
              <w:snapToGrid w:val="0"/>
              <w:spacing w:after="0" w:line="100" w:lineRule="atLeast"/>
              <w:rPr>
                <w:rFonts w:ascii="Times New Roman" w:hAnsi="Times New Roman" w:cs="Times New Roman"/>
                <w:b/>
                <w:bCs/>
                <w:sz w:val="24"/>
                <w:szCs w:val="24"/>
              </w:rPr>
            </w:pPr>
          </w:p>
        </w:tc>
        <w:tc>
          <w:tcPr>
            <w:tcW w:w="1487" w:type="dxa"/>
            <w:shd w:val="clear" w:color="auto" w:fill="FFFFFF"/>
          </w:tcPr>
          <w:p w14:paraId="20B3E6C0" w14:textId="77777777" w:rsidR="005353F2" w:rsidRPr="00993DF3" w:rsidRDefault="0070750B">
            <w:pPr>
              <w:spacing w:after="0" w:line="100" w:lineRule="atLeast"/>
              <w:rPr>
                <w:rFonts w:ascii="Times New Roman" w:hAnsi="Times New Roman" w:cs="Times New Roman"/>
                <w:sz w:val="24"/>
                <w:szCs w:val="24"/>
              </w:rPr>
            </w:pPr>
            <w:r w:rsidRPr="00993DF3">
              <w:rPr>
                <w:rFonts w:ascii="Times New Roman" w:hAnsi="Times New Roman" w:cs="Times New Roman"/>
                <w:b/>
                <w:bCs/>
                <w:sz w:val="24"/>
                <w:szCs w:val="24"/>
              </w:rPr>
              <w:t>Subtotaal</w:t>
            </w:r>
          </w:p>
        </w:tc>
        <w:tc>
          <w:tcPr>
            <w:tcW w:w="849" w:type="dxa"/>
            <w:tcBorders>
              <w:left w:val="single" w:sz="1" w:space="0" w:color="000000"/>
            </w:tcBorders>
            <w:shd w:val="clear" w:color="auto" w:fill="FFFFFF"/>
          </w:tcPr>
          <w:p w14:paraId="30A806A1" w14:textId="77777777" w:rsidR="005353F2" w:rsidRPr="00993DF3" w:rsidRDefault="0070750B">
            <w:pPr>
              <w:spacing w:after="0" w:line="100" w:lineRule="atLeast"/>
              <w:jc w:val="center"/>
              <w:rPr>
                <w:rFonts w:ascii="Times New Roman" w:hAnsi="Times New Roman" w:cs="Times New Roman"/>
                <w:sz w:val="24"/>
                <w:szCs w:val="24"/>
              </w:rPr>
            </w:pPr>
            <w:r w:rsidRPr="00993DF3">
              <w:rPr>
                <w:rFonts w:ascii="Times New Roman" w:hAnsi="Times New Roman" w:cs="Times New Roman"/>
                <w:sz w:val="24"/>
                <w:szCs w:val="24"/>
              </w:rPr>
              <w:t>30,7</w:t>
            </w:r>
          </w:p>
        </w:tc>
        <w:tc>
          <w:tcPr>
            <w:tcW w:w="1024" w:type="dxa"/>
            <w:tcBorders>
              <w:left w:val="single" w:sz="1" w:space="0" w:color="000000"/>
            </w:tcBorders>
            <w:shd w:val="clear" w:color="auto" w:fill="FFFFFF"/>
          </w:tcPr>
          <w:p w14:paraId="39130EC7" w14:textId="77777777" w:rsidR="005353F2" w:rsidRPr="00993DF3" w:rsidRDefault="0070750B">
            <w:pPr>
              <w:spacing w:after="0" w:line="100" w:lineRule="atLeast"/>
              <w:jc w:val="center"/>
              <w:rPr>
                <w:rFonts w:ascii="Times New Roman" w:hAnsi="Times New Roman" w:cs="Times New Roman"/>
                <w:b/>
                <w:bCs/>
                <w:sz w:val="24"/>
                <w:szCs w:val="24"/>
              </w:rPr>
            </w:pPr>
            <w:r w:rsidRPr="00993DF3">
              <w:rPr>
                <w:rFonts w:ascii="Times New Roman" w:hAnsi="Times New Roman" w:cs="Times New Roman"/>
                <w:sz w:val="24"/>
                <w:szCs w:val="24"/>
              </w:rPr>
              <w:t>12,6</w:t>
            </w:r>
          </w:p>
        </w:tc>
      </w:tr>
      <w:tr w:rsidR="005353F2" w:rsidRPr="00993DF3" w14:paraId="407643C7" w14:textId="77777777">
        <w:tc>
          <w:tcPr>
            <w:tcW w:w="977" w:type="dxa"/>
            <w:shd w:val="clear" w:color="auto" w:fill="FFFFFF"/>
          </w:tcPr>
          <w:p w14:paraId="21862E1D" w14:textId="77777777" w:rsidR="005353F2" w:rsidRPr="00993DF3" w:rsidRDefault="0070750B">
            <w:pPr>
              <w:spacing w:after="0" w:line="100" w:lineRule="atLeast"/>
              <w:rPr>
                <w:rFonts w:ascii="Times New Roman" w:hAnsi="Times New Roman" w:cs="Times New Roman"/>
                <w:b/>
                <w:bCs/>
                <w:sz w:val="24"/>
                <w:szCs w:val="24"/>
              </w:rPr>
            </w:pPr>
            <w:r w:rsidRPr="00993DF3">
              <w:rPr>
                <w:rFonts w:ascii="Times New Roman" w:hAnsi="Times New Roman" w:cs="Times New Roman"/>
                <w:b/>
                <w:bCs/>
                <w:sz w:val="24"/>
                <w:szCs w:val="24"/>
              </w:rPr>
              <w:t>Nee</w:t>
            </w:r>
          </w:p>
        </w:tc>
        <w:tc>
          <w:tcPr>
            <w:tcW w:w="1487" w:type="dxa"/>
            <w:shd w:val="clear" w:color="auto" w:fill="FFFFFF"/>
          </w:tcPr>
          <w:p w14:paraId="33A3D019" w14:textId="77777777" w:rsidR="005353F2" w:rsidRPr="00993DF3" w:rsidRDefault="005353F2">
            <w:pPr>
              <w:snapToGrid w:val="0"/>
              <w:spacing w:after="0" w:line="100" w:lineRule="atLeast"/>
              <w:rPr>
                <w:rFonts w:ascii="Times New Roman" w:hAnsi="Times New Roman" w:cs="Times New Roman"/>
                <w:b/>
                <w:bCs/>
                <w:sz w:val="24"/>
                <w:szCs w:val="24"/>
              </w:rPr>
            </w:pPr>
          </w:p>
        </w:tc>
        <w:tc>
          <w:tcPr>
            <w:tcW w:w="849" w:type="dxa"/>
            <w:tcBorders>
              <w:left w:val="single" w:sz="1" w:space="0" w:color="000000"/>
            </w:tcBorders>
            <w:shd w:val="clear" w:color="auto" w:fill="FFFFFF"/>
          </w:tcPr>
          <w:p w14:paraId="2E732673" w14:textId="77777777" w:rsidR="005353F2" w:rsidRPr="00993DF3" w:rsidRDefault="0070750B">
            <w:pPr>
              <w:spacing w:after="0" w:line="100" w:lineRule="atLeast"/>
              <w:jc w:val="center"/>
              <w:rPr>
                <w:rFonts w:ascii="Times New Roman" w:hAnsi="Times New Roman" w:cs="Times New Roman"/>
                <w:sz w:val="24"/>
                <w:szCs w:val="24"/>
                <w:u w:val="single"/>
              </w:rPr>
            </w:pPr>
            <w:r w:rsidRPr="00993DF3">
              <w:rPr>
                <w:rFonts w:ascii="Times New Roman" w:hAnsi="Times New Roman" w:cs="Times New Roman"/>
                <w:sz w:val="24"/>
                <w:szCs w:val="24"/>
                <w:u w:val="single"/>
              </w:rPr>
              <w:t>69,3</w:t>
            </w:r>
          </w:p>
        </w:tc>
        <w:tc>
          <w:tcPr>
            <w:tcW w:w="1024" w:type="dxa"/>
            <w:tcBorders>
              <w:left w:val="single" w:sz="1" w:space="0" w:color="000000"/>
            </w:tcBorders>
            <w:shd w:val="clear" w:color="auto" w:fill="FFFFFF"/>
          </w:tcPr>
          <w:p w14:paraId="1296DBAD" w14:textId="77777777" w:rsidR="005353F2" w:rsidRPr="00993DF3" w:rsidRDefault="0070750B">
            <w:pPr>
              <w:spacing w:after="0" w:line="100" w:lineRule="atLeast"/>
              <w:jc w:val="center"/>
              <w:rPr>
                <w:rFonts w:ascii="Times New Roman" w:hAnsi="Times New Roman" w:cs="Times New Roman"/>
                <w:b/>
                <w:bCs/>
                <w:sz w:val="24"/>
                <w:szCs w:val="24"/>
              </w:rPr>
            </w:pPr>
            <w:r w:rsidRPr="00993DF3">
              <w:rPr>
                <w:rFonts w:ascii="Times New Roman" w:hAnsi="Times New Roman" w:cs="Times New Roman"/>
                <w:sz w:val="24"/>
                <w:szCs w:val="24"/>
                <w:u w:val="single"/>
              </w:rPr>
              <w:t>87,4</w:t>
            </w:r>
          </w:p>
        </w:tc>
      </w:tr>
      <w:tr w:rsidR="005353F2" w:rsidRPr="00993DF3" w14:paraId="47FE124D" w14:textId="77777777">
        <w:tc>
          <w:tcPr>
            <w:tcW w:w="977" w:type="dxa"/>
            <w:shd w:val="clear" w:color="auto" w:fill="FFFFFF"/>
          </w:tcPr>
          <w:p w14:paraId="14131185" w14:textId="77777777" w:rsidR="005353F2" w:rsidRPr="00993DF3" w:rsidRDefault="0070750B">
            <w:pPr>
              <w:spacing w:after="0" w:line="100" w:lineRule="atLeast"/>
              <w:rPr>
                <w:rFonts w:ascii="Times New Roman" w:hAnsi="Times New Roman" w:cs="Times New Roman"/>
                <w:b/>
                <w:bCs/>
                <w:sz w:val="24"/>
                <w:szCs w:val="24"/>
              </w:rPr>
            </w:pPr>
            <w:r w:rsidRPr="00993DF3">
              <w:rPr>
                <w:rFonts w:ascii="Times New Roman" w:hAnsi="Times New Roman" w:cs="Times New Roman"/>
                <w:b/>
                <w:bCs/>
                <w:sz w:val="24"/>
                <w:szCs w:val="24"/>
              </w:rPr>
              <w:t>Totaal</w:t>
            </w:r>
          </w:p>
        </w:tc>
        <w:tc>
          <w:tcPr>
            <w:tcW w:w="1487" w:type="dxa"/>
            <w:shd w:val="clear" w:color="auto" w:fill="FFFFFF"/>
          </w:tcPr>
          <w:p w14:paraId="3A93E832" w14:textId="77777777" w:rsidR="005353F2" w:rsidRPr="00993DF3" w:rsidRDefault="005353F2">
            <w:pPr>
              <w:snapToGrid w:val="0"/>
              <w:spacing w:after="0" w:line="100" w:lineRule="atLeast"/>
              <w:rPr>
                <w:rFonts w:ascii="Times New Roman" w:hAnsi="Times New Roman" w:cs="Times New Roman"/>
                <w:b/>
                <w:bCs/>
                <w:sz w:val="24"/>
                <w:szCs w:val="24"/>
              </w:rPr>
            </w:pPr>
          </w:p>
        </w:tc>
        <w:tc>
          <w:tcPr>
            <w:tcW w:w="849" w:type="dxa"/>
            <w:tcBorders>
              <w:left w:val="single" w:sz="1" w:space="0" w:color="000000"/>
            </w:tcBorders>
            <w:shd w:val="clear" w:color="auto" w:fill="FFFFFF"/>
          </w:tcPr>
          <w:p w14:paraId="573F8793" w14:textId="77777777" w:rsidR="005353F2" w:rsidRPr="00993DF3" w:rsidRDefault="0070750B">
            <w:pPr>
              <w:spacing w:after="0" w:line="100" w:lineRule="atLeast"/>
              <w:jc w:val="center"/>
              <w:rPr>
                <w:rFonts w:ascii="Times New Roman" w:hAnsi="Times New Roman" w:cs="Times New Roman"/>
                <w:sz w:val="24"/>
                <w:szCs w:val="24"/>
              </w:rPr>
            </w:pPr>
            <w:r w:rsidRPr="00993DF3">
              <w:rPr>
                <w:rFonts w:ascii="Times New Roman" w:hAnsi="Times New Roman" w:cs="Times New Roman"/>
                <w:sz w:val="24"/>
                <w:szCs w:val="24"/>
              </w:rPr>
              <w:t>100</w:t>
            </w:r>
          </w:p>
        </w:tc>
        <w:tc>
          <w:tcPr>
            <w:tcW w:w="1024" w:type="dxa"/>
            <w:tcBorders>
              <w:left w:val="single" w:sz="1" w:space="0" w:color="000000"/>
            </w:tcBorders>
            <w:shd w:val="clear" w:color="auto" w:fill="FFFFFF"/>
          </w:tcPr>
          <w:p w14:paraId="3B410232" w14:textId="77777777" w:rsidR="005353F2" w:rsidRPr="00993DF3" w:rsidRDefault="0070750B">
            <w:pPr>
              <w:spacing w:after="0" w:line="100" w:lineRule="atLeast"/>
              <w:jc w:val="center"/>
              <w:rPr>
                <w:rFonts w:ascii="Times New Roman" w:hAnsi="Times New Roman" w:cs="Times New Roman"/>
                <w:sz w:val="24"/>
                <w:szCs w:val="24"/>
              </w:rPr>
            </w:pPr>
            <w:r w:rsidRPr="00993DF3">
              <w:rPr>
                <w:rFonts w:ascii="Times New Roman" w:hAnsi="Times New Roman" w:cs="Times New Roman"/>
                <w:sz w:val="24"/>
                <w:szCs w:val="24"/>
              </w:rPr>
              <w:t>100</w:t>
            </w:r>
          </w:p>
        </w:tc>
      </w:tr>
    </w:tbl>
    <w:p w14:paraId="79110184" w14:textId="77777777" w:rsidR="00863695" w:rsidRPr="00EB06F7" w:rsidRDefault="00863695">
      <w:pPr>
        <w:jc w:val="both"/>
        <w:rPr>
          <w:rFonts w:ascii="Times New Roman" w:hAnsi="Times New Roman" w:cs="Times New Roman"/>
          <w:sz w:val="24"/>
          <w:szCs w:val="24"/>
        </w:rPr>
      </w:pPr>
    </w:p>
    <w:p w14:paraId="1C741439" w14:textId="77777777" w:rsidR="005353F2" w:rsidRPr="00EB06F7" w:rsidRDefault="002030DB">
      <w:pPr>
        <w:jc w:val="both"/>
        <w:rPr>
          <w:rFonts w:ascii="Times New Roman" w:hAnsi="Times New Roman" w:cs="Times New Roman"/>
          <w:sz w:val="24"/>
          <w:szCs w:val="24"/>
        </w:rPr>
      </w:pPr>
      <w:r>
        <w:rPr>
          <w:rFonts w:ascii="Times New Roman" w:hAnsi="Times New Roman" w:cs="Times New Roman"/>
          <w:sz w:val="24"/>
          <w:szCs w:val="24"/>
        </w:rPr>
        <w:lastRenderedPageBreak/>
        <w:t>Voetbalclubs kunnen niet</w:t>
      </w:r>
      <w:r w:rsidR="0070750B" w:rsidRPr="00EB06F7">
        <w:rPr>
          <w:rFonts w:ascii="Times New Roman" w:hAnsi="Times New Roman" w:cs="Times New Roman"/>
          <w:sz w:val="24"/>
          <w:szCs w:val="24"/>
        </w:rPr>
        <w:t xml:space="preserve"> zonder financiële steun van de </w:t>
      </w:r>
      <w:r w:rsidR="000503D3" w:rsidRPr="00EB06F7">
        <w:rPr>
          <w:rFonts w:ascii="Times New Roman" w:hAnsi="Times New Roman" w:cs="Times New Roman"/>
          <w:sz w:val="24"/>
          <w:szCs w:val="24"/>
        </w:rPr>
        <w:t xml:space="preserve">lokale </w:t>
      </w:r>
      <w:r w:rsidR="0070750B" w:rsidRPr="00EB06F7">
        <w:rPr>
          <w:rFonts w:ascii="Times New Roman" w:hAnsi="Times New Roman" w:cs="Times New Roman"/>
          <w:sz w:val="24"/>
          <w:szCs w:val="24"/>
        </w:rPr>
        <w:t xml:space="preserve">overheid. </w:t>
      </w:r>
      <w:r>
        <w:rPr>
          <w:rFonts w:ascii="Times New Roman" w:hAnsi="Times New Roman" w:cs="Times New Roman"/>
          <w:sz w:val="24"/>
          <w:szCs w:val="24"/>
        </w:rPr>
        <w:t xml:space="preserve">Zelfs de grote voetbalclubs niet. </w:t>
      </w:r>
      <w:r w:rsidR="0070750B" w:rsidRPr="00EB06F7">
        <w:rPr>
          <w:rFonts w:ascii="Times New Roman" w:hAnsi="Times New Roman" w:cs="Times New Roman"/>
          <w:sz w:val="24"/>
          <w:szCs w:val="24"/>
        </w:rPr>
        <w:t xml:space="preserve">De gemeente Amsterdam blies nogal flink in de bus bij de bouw van de Amsterdam Arena en het bijbehorende Transferium. Overigens betaalt Ajax wel jaarlijks een </w:t>
      </w:r>
      <w:r w:rsidR="000503D3" w:rsidRPr="00EB06F7">
        <w:rPr>
          <w:rFonts w:ascii="Times New Roman" w:hAnsi="Times New Roman" w:cs="Times New Roman"/>
          <w:sz w:val="24"/>
          <w:szCs w:val="24"/>
        </w:rPr>
        <w:t xml:space="preserve">tamelijk </w:t>
      </w:r>
      <w:r w:rsidR="0070750B" w:rsidRPr="00EB06F7">
        <w:rPr>
          <w:rFonts w:ascii="Times New Roman" w:hAnsi="Times New Roman" w:cs="Times New Roman"/>
          <w:sz w:val="24"/>
          <w:szCs w:val="24"/>
        </w:rPr>
        <w:t>hoge huur. Bovendien heeft de Amsterdam Arena ook een belangrijke functie voor topinterlands en voor concerten.</w:t>
      </w:r>
      <w:r w:rsidR="0070750B" w:rsidRPr="00EB06F7">
        <w:rPr>
          <w:rStyle w:val="Voetnootmarkering"/>
          <w:rFonts w:ascii="Times New Roman" w:hAnsi="Times New Roman" w:cs="Times New Roman"/>
          <w:sz w:val="24"/>
          <w:szCs w:val="24"/>
        </w:rPr>
        <w:footnoteReference w:id="2"/>
      </w:r>
      <w:r w:rsidR="0070750B" w:rsidRPr="00EB06F7">
        <w:rPr>
          <w:rFonts w:ascii="Times New Roman" w:hAnsi="Times New Roman" w:cs="Times New Roman"/>
          <w:sz w:val="24"/>
          <w:szCs w:val="24"/>
        </w:rPr>
        <w:t xml:space="preserve">  </w:t>
      </w:r>
    </w:p>
    <w:p w14:paraId="2C389E82" w14:textId="77777777" w:rsidR="00EB06F7" w:rsidRDefault="00EB06F7" w:rsidP="00EB06F7">
      <w:pPr>
        <w:jc w:val="both"/>
        <w:rPr>
          <w:rFonts w:ascii="Times New Roman" w:hAnsi="Times New Roman" w:cs="Times New Roman"/>
          <w:sz w:val="24"/>
          <w:szCs w:val="24"/>
        </w:rPr>
      </w:pPr>
      <w:r>
        <w:rPr>
          <w:rFonts w:ascii="Times New Roman" w:hAnsi="Times New Roman" w:cs="Times New Roman"/>
          <w:sz w:val="24"/>
          <w:szCs w:val="24"/>
        </w:rPr>
        <w:t xml:space="preserve">Bij PSV denken veel waarnemers uiteraard aan de </w:t>
      </w:r>
      <w:r w:rsidR="00302279">
        <w:rPr>
          <w:rFonts w:ascii="Times New Roman" w:hAnsi="Times New Roman" w:cs="Times New Roman"/>
          <w:sz w:val="24"/>
          <w:szCs w:val="24"/>
        </w:rPr>
        <w:t xml:space="preserve">grootscheepse </w:t>
      </w:r>
      <w:r>
        <w:rPr>
          <w:rFonts w:ascii="Times New Roman" w:hAnsi="Times New Roman" w:cs="Times New Roman"/>
          <w:sz w:val="24"/>
          <w:szCs w:val="24"/>
        </w:rPr>
        <w:t>reddingsoperatie van twee jaar geleden. In het midden van de jaren negentig ontving PSV vier miljoen gulden van het ministerie van Welzijn, Volksgezondheid en Cultuur (WVC) voor de aanpassing van de tribune aan de spoorzijde. WVC ging uiteindelijk overstag na prima lobbywerk van de toenmalige burgemeester Rein Welschen.</w:t>
      </w:r>
      <w:r>
        <w:rPr>
          <w:rStyle w:val="Voetnootmarkering"/>
          <w:rFonts w:ascii="Times New Roman" w:hAnsi="Times New Roman" w:cs="Times New Roman"/>
          <w:sz w:val="24"/>
          <w:szCs w:val="24"/>
        </w:rPr>
        <w:footnoteReference w:id="3"/>
      </w:r>
      <w:r>
        <w:rPr>
          <w:rFonts w:ascii="Times New Roman" w:hAnsi="Times New Roman" w:cs="Times New Roman"/>
          <w:sz w:val="24"/>
          <w:szCs w:val="24"/>
        </w:rPr>
        <w:t xml:space="preserve"> Tegelijkertijd leverde de gemeente Eindhoven een bijdrage van tien miljoen gulden voor de </w:t>
      </w:r>
      <w:r w:rsidR="00302279">
        <w:rPr>
          <w:rFonts w:ascii="Times New Roman" w:hAnsi="Times New Roman" w:cs="Times New Roman"/>
          <w:sz w:val="24"/>
          <w:szCs w:val="24"/>
        </w:rPr>
        <w:t xml:space="preserve">complementaire </w:t>
      </w:r>
      <w:r>
        <w:rPr>
          <w:rFonts w:ascii="Times New Roman" w:hAnsi="Times New Roman" w:cs="Times New Roman"/>
          <w:sz w:val="24"/>
          <w:szCs w:val="24"/>
        </w:rPr>
        <w:t>infrastructuur. Zodoende behield PSV een ‘level playing field’ ten opzichte van Ajax en Feyenoord.</w:t>
      </w:r>
    </w:p>
    <w:p w14:paraId="1325A5DD" w14:textId="77777777" w:rsidR="005353F2" w:rsidRPr="00EB06F7" w:rsidRDefault="0070750B">
      <w:pPr>
        <w:jc w:val="both"/>
        <w:rPr>
          <w:rFonts w:ascii="Times New Roman" w:hAnsi="Times New Roman" w:cs="Times New Roman"/>
          <w:sz w:val="24"/>
          <w:szCs w:val="24"/>
        </w:rPr>
      </w:pPr>
      <w:r w:rsidRPr="00EB06F7">
        <w:rPr>
          <w:rFonts w:ascii="Times New Roman" w:hAnsi="Times New Roman" w:cs="Times New Roman"/>
          <w:sz w:val="24"/>
          <w:szCs w:val="24"/>
        </w:rPr>
        <w:t xml:space="preserve">Feyenoord moet het voorlopig doen zonder het perspectief op een nieuw stadion. Op 10 juli </w:t>
      </w:r>
      <w:r w:rsidR="008A251D" w:rsidRPr="00EB06F7">
        <w:rPr>
          <w:rFonts w:ascii="Times New Roman" w:hAnsi="Times New Roman" w:cs="Times New Roman"/>
          <w:sz w:val="24"/>
          <w:szCs w:val="24"/>
        </w:rPr>
        <w:t>jl.</w:t>
      </w:r>
      <w:r w:rsidRPr="00EB06F7">
        <w:rPr>
          <w:rFonts w:ascii="Times New Roman" w:hAnsi="Times New Roman" w:cs="Times New Roman"/>
          <w:sz w:val="24"/>
          <w:szCs w:val="24"/>
        </w:rPr>
        <w:t xml:space="preserve"> werd duidelijk dat er geen meerderheid in de Rotterdamse raad te vinden was voor een gemeentelijke garantstelling van 165 miljoen euro. In 1994 leverde de gemeente wel een financiële ‘bijdrage’ van 35 miljoen gulden aan een forse renovatie van De Kuip.</w:t>
      </w:r>
      <w:r w:rsidRPr="00EB06F7">
        <w:rPr>
          <w:rStyle w:val="Voetnootmarkering"/>
          <w:rFonts w:ascii="Times New Roman" w:hAnsi="Times New Roman" w:cs="Times New Roman"/>
          <w:sz w:val="24"/>
          <w:szCs w:val="24"/>
        </w:rPr>
        <w:footnoteReference w:id="4"/>
      </w:r>
      <w:r w:rsidRPr="00EB06F7">
        <w:rPr>
          <w:rFonts w:ascii="Times New Roman" w:hAnsi="Times New Roman" w:cs="Times New Roman"/>
          <w:sz w:val="24"/>
          <w:szCs w:val="24"/>
        </w:rPr>
        <w:t xml:space="preserve"> Later stelde Rotterdam zich nog eens voor 5,3 miljoen euro garant voor een kleinere aanpassing.</w:t>
      </w:r>
      <w:r w:rsidRPr="00EB06F7">
        <w:rPr>
          <w:rStyle w:val="Voetnootmarkering"/>
          <w:rFonts w:ascii="Times New Roman" w:hAnsi="Times New Roman" w:cs="Times New Roman"/>
          <w:sz w:val="24"/>
          <w:szCs w:val="24"/>
        </w:rPr>
        <w:footnoteReference w:id="5"/>
      </w:r>
    </w:p>
    <w:p w14:paraId="2658D173" w14:textId="77777777" w:rsidR="005353F2" w:rsidRPr="00EB06F7" w:rsidRDefault="0070750B">
      <w:pPr>
        <w:jc w:val="both"/>
        <w:rPr>
          <w:rFonts w:ascii="Times New Roman" w:hAnsi="Times New Roman" w:cs="Times New Roman"/>
          <w:sz w:val="24"/>
          <w:szCs w:val="24"/>
        </w:rPr>
      </w:pPr>
      <w:r w:rsidRPr="00EB06F7">
        <w:rPr>
          <w:rFonts w:ascii="Times New Roman" w:hAnsi="Times New Roman" w:cs="Times New Roman"/>
          <w:sz w:val="24"/>
          <w:szCs w:val="24"/>
        </w:rPr>
        <w:t xml:space="preserve">Gemeentelijke </w:t>
      </w:r>
      <w:r w:rsidR="002030DB">
        <w:rPr>
          <w:rFonts w:ascii="Times New Roman" w:hAnsi="Times New Roman" w:cs="Times New Roman"/>
          <w:sz w:val="24"/>
          <w:szCs w:val="24"/>
        </w:rPr>
        <w:t xml:space="preserve">financiële </w:t>
      </w:r>
      <w:r w:rsidRPr="00EB06F7">
        <w:rPr>
          <w:rFonts w:ascii="Times New Roman" w:hAnsi="Times New Roman" w:cs="Times New Roman"/>
          <w:sz w:val="24"/>
          <w:szCs w:val="24"/>
        </w:rPr>
        <w:t>steun kan dus meerdere vormen aannemen. Dolf de Groot en Daan van Lent onderscheiden in NRC van 9 april 2011 een zestal varianten.</w:t>
      </w:r>
      <w:r w:rsidR="00302279">
        <w:rPr>
          <w:rStyle w:val="Voetnootmarkering"/>
          <w:rFonts w:ascii="Times New Roman" w:hAnsi="Times New Roman" w:cs="Times New Roman"/>
          <w:sz w:val="24"/>
          <w:szCs w:val="24"/>
        </w:rPr>
        <w:footnoteReference w:id="6"/>
      </w:r>
      <w:r w:rsidRPr="00EB06F7">
        <w:rPr>
          <w:rFonts w:ascii="Times New Roman" w:hAnsi="Times New Roman" w:cs="Times New Roman"/>
          <w:sz w:val="24"/>
          <w:szCs w:val="24"/>
        </w:rPr>
        <w:t xml:space="preserve"> In de eerste plaats kan de lokale overheid optreden als suikeroom. Directe subsidiëring is niet toegestaan, dus gaan gemeenten hier nogal creatief mee om. De Groot en Van Lent vermelden gemeentelijke bijdragen aan kunstgrasvelden (Almere City FC, Excelsior en FC Zwolle), kleedkamers (FC Den Bosch) en lichtmasten (FC Eindhoven). Soms is de gemeente zelfs (hoofd)sponsor (BV Veendam), in het kader van de overbekende citybranding en citymarketing. </w:t>
      </w:r>
    </w:p>
    <w:p w14:paraId="3867EB2A" w14:textId="77777777" w:rsidR="005353F2" w:rsidRPr="00EB06F7" w:rsidRDefault="0070750B" w:rsidP="000503D3">
      <w:pPr>
        <w:jc w:val="both"/>
        <w:rPr>
          <w:rFonts w:ascii="Times New Roman" w:hAnsi="Times New Roman" w:cs="Times New Roman"/>
          <w:sz w:val="24"/>
          <w:szCs w:val="24"/>
        </w:rPr>
      </w:pPr>
      <w:r w:rsidRPr="00EB06F7">
        <w:rPr>
          <w:rFonts w:ascii="Times New Roman" w:hAnsi="Times New Roman" w:cs="Times New Roman"/>
          <w:sz w:val="24"/>
          <w:szCs w:val="24"/>
        </w:rPr>
        <w:t xml:space="preserve">Daarnaast kan de gemeente fungeren als huisbaas. De stadionhuur die BVO’s betalen loopt nogal uiteen. Dit geldt dus ook voor de mate waarin deze huur marktconform is. Ook kan de gemeente optreden als projectontwikkelaar. De aankoop van het stadion </w:t>
      </w:r>
      <w:r w:rsidR="00EB06F7">
        <w:rPr>
          <w:rFonts w:ascii="Times New Roman" w:hAnsi="Times New Roman" w:cs="Times New Roman"/>
          <w:sz w:val="24"/>
          <w:szCs w:val="24"/>
        </w:rPr>
        <w:t xml:space="preserve">(en de grond) </w:t>
      </w:r>
      <w:r w:rsidRPr="00EB06F7">
        <w:rPr>
          <w:rFonts w:ascii="Times New Roman" w:hAnsi="Times New Roman" w:cs="Times New Roman"/>
          <w:sz w:val="24"/>
          <w:szCs w:val="24"/>
        </w:rPr>
        <w:t xml:space="preserve">door de </w:t>
      </w:r>
      <w:r w:rsidRPr="00EB06F7">
        <w:rPr>
          <w:rFonts w:ascii="Times New Roman" w:hAnsi="Times New Roman" w:cs="Times New Roman"/>
          <w:sz w:val="24"/>
          <w:szCs w:val="24"/>
        </w:rPr>
        <w:lastRenderedPageBreak/>
        <w:t xml:space="preserve">gemeente </w:t>
      </w:r>
      <w:r w:rsidR="00EB06F7">
        <w:rPr>
          <w:rFonts w:ascii="Times New Roman" w:hAnsi="Times New Roman" w:cs="Times New Roman"/>
          <w:sz w:val="24"/>
          <w:szCs w:val="24"/>
        </w:rPr>
        <w:t xml:space="preserve">Arnhem </w:t>
      </w:r>
      <w:r w:rsidRPr="00EB06F7">
        <w:rPr>
          <w:rFonts w:ascii="Times New Roman" w:hAnsi="Times New Roman" w:cs="Times New Roman"/>
          <w:sz w:val="24"/>
          <w:szCs w:val="24"/>
        </w:rPr>
        <w:t>betekende in 2003 de redding voo</w:t>
      </w:r>
      <w:r w:rsidR="000503D3" w:rsidRPr="00EB06F7">
        <w:rPr>
          <w:rFonts w:ascii="Times New Roman" w:hAnsi="Times New Roman" w:cs="Times New Roman"/>
          <w:sz w:val="24"/>
          <w:szCs w:val="24"/>
        </w:rPr>
        <w:t>r Vitesse</w:t>
      </w:r>
      <w:r w:rsidR="00EB06F7">
        <w:rPr>
          <w:rFonts w:ascii="Times New Roman" w:hAnsi="Times New Roman" w:cs="Times New Roman"/>
          <w:sz w:val="24"/>
          <w:szCs w:val="24"/>
        </w:rPr>
        <w:t>.</w:t>
      </w:r>
      <w:r w:rsidR="000503D3" w:rsidRPr="00EB06F7">
        <w:rPr>
          <w:rFonts w:ascii="Times New Roman" w:hAnsi="Times New Roman" w:cs="Times New Roman"/>
          <w:sz w:val="24"/>
          <w:szCs w:val="24"/>
        </w:rPr>
        <w:t xml:space="preserve"> </w:t>
      </w:r>
      <w:r w:rsidR="00EB06F7">
        <w:rPr>
          <w:rFonts w:ascii="Times New Roman" w:hAnsi="Times New Roman" w:cs="Times New Roman"/>
          <w:sz w:val="24"/>
          <w:szCs w:val="24"/>
        </w:rPr>
        <w:t>Een soortgelijke transactie hield in</w:t>
      </w:r>
      <w:r w:rsidR="000503D3" w:rsidRPr="00EB06F7">
        <w:rPr>
          <w:rFonts w:ascii="Times New Roman" w:hAnsi="Times New Roman" w:cs="Times New Roman"/>
          <w:sz w:val="24"/>
          <w:szCs w:val="24"/>
        </w:rPr>
        <w:t xml:space="preserve"> 2007 – vooralsnog</w:t>
      </w:r>
      <w:r w:rsidRPr="00EB06F7">
        <w:rPr>
          <w:rFonts w:ascii="Times New Roman" w:hAnsi="Times New Roman" w:cs="Times New Roman"/>
          <w:sz w:val="24"/>
          <w:szCs w:val="24"/>
        </w:rPr>
        <w:t xml:space="preserve"> –NAC Breda</w:t>
      </w:r>
      <w:r w:rsidR="00EB06F7">
        <w:rPr>
          <w:rFonts w:ascii="Times New Roman" w:hAnsi="Times New Roman" w:cs="Times New Roman"/>
          <w:sz w:val="24"/>
          <w:szCs w:val="24"/>
        </w:rPr>
        <w:t xml:space="preserve"> overeind</w:t>
      </w:r>
      <w:r w:rsidRPr="00EB06F7">
        <w:rPr>
          <w:rFonts w:ascii="Times New Roman" w:hAnsi="Times New Roman" w:cs="Times New Roman"/>
          <w:sz w:val="24"/>
          <w:szCs w:val="24"/>
        </w:rPr>
        <w:t xml:space="preserve">. </w:t>
      </w:r>
    </w:p>
    <w:p w14:paraId="05B5818E" w14:textId="77777777" w:rsidR="005353F2" w:rsidRPr="00EB06F7" w:rsidRDefault="0070750B">
      <w:pPr>
        <w:jc w:val="both"/>
        <w:rPr>
          <w:rFonts w:ascii="Times New Roman" w:hAnsi="Times New Roman" w:cs="Times New Roman"/>
          <w:sz w:val="24"/>
          <w:szCs w:val="24"/>
        </w:rPr>
      </w:pPr>
      <w:r w:rsidRPr="00EB06F7">
        <w:rPr>
          <w:rFonts w:ascii="Times New Roman" w:hAnsi="Times New Roman" w:cs="Times New Roman"/>
          <w:sz w:val="24"/>
          <w:szCs w:val="24"/>
        </w:rPr>
        <w:t>Bovendien kan de gemeente zich voor een bepaald bedrag garant stellen, bij de bouw van een stadion, om maar eens wat te noemen. Dat gebeurde in het verleden onder andere bij Fortuna Sittard, De Graafschap en RBC Roosendaal. Ten slotte kan de lokale overheid gewoon optreden als bankier. Voetbalclubs zijn maar al te vaak dubieuze debiteuren. Banken hebben dit uiteraard door</w:t>
      </w:r>
      <w:r w:rsidR="000503D3" w:rsidRPr="00EB06F7">
        <w:rPr>
          <w:rFonts w:ascii="Times New Roman" w:hAnsi="Times New Roman" w:cs="Times New Roman"/>
          <w:sz w:val="24"/>
          <w:szCs w:val="24"/>
        </w:rPr>
        <w:t>, zoals we reeds zagen</w:t>
      </w:r>
      <w:r w:rsidRPr="00EB06F7">
        <w:rPr>
          <w:rFonts w:ascii="Times New Roman" w:hAnsi="Times New Roman" w:cs="Times New Roman"/>
          <w:sz w:val="24"/>
          <w:szCs w:val="24"/>
        </w:rPr>
        <w:t xml:space="preserve">. Kwijtschelding </w:t>
      </w:r>
      <w:r w:rsidR="000503D3" w:rsidRPr="00EB06F7">
        <w:rPr>
          <w:rFonts w:ascii="Times New Roman" w:hAnsi="Times New Roman" w:cs="Times New Roman"/>
          <w:sz w:val="24"/>
          <w:szCs w:val="24"/>
        </w:rPr>
        <w:t>is dus vrij vaak aan de orde. Di</w:t>
      </w:r>
      <w:r w:rsidRPr="00EB06F7">
        <w:rPr>
          <w:rFonts w:ascii="Times New Roman" w:hAnsi="Times New Roman" w:cs="Times New Roman"/>
          <w:sz w:val="24"/>
          <w:szCs w:val="24"/>
        </w:rPr>
        <w:t xml:space="preserve">t laatste geschiedt vaak op een nogal inventieve manier, bijvoorbeeld via </w:t>
      </w:r>
      <w:r w:rsidR="00863695" w:rsidRPr="00EB06F7">
        <w:rPr>
          <w:rFonts w:ascii="Times New Roman" w:hAnsi="Times New Roman" w:cs="Times New Roman"/>
          <w:sz w:val="24"/>
          <w:szCs w:val="24"/>
        </w:rPr>
        <w:t>ruilhandel</w:t>
      </w:r>
      <w:r w:rsidRPr="00EB06F7">
        <w:rPr>
          <w:rFonts w:ascii="Times New Roman" w:hAnsi="Times New Roman" w:cs="Times New Roman"/>
          <w:sz w:val="24"/>
          <w:szCs w:val="24"/>
        </w:rPr>
        <w:t>. Cambuur betaalde bijvoorbeeld een deel van een lening van bijna acht ton terug door de gemeente Leeuwarden op broeken en mouwen te promoten.</w:t>
      </w:r>
    </w:p>
    <w:p w14:paraId="1F37C927" w14:textId="77777777" w:rsidR="005353F2" w:rsidRPr="00EB06F7" w:rsidRDefault="0070750B" w:rsidP="000503D3">
      <w:pPr>
        <w:jc w:val="both"/>
        <w:rPr>
          <w:rFonts w:ascii="Times New Roman" w:hAnsi="Times New Roman" w:cs="Times New Roman"/>
          <w:sz w:val="24"/>
          <w:szCs w:val="24"/>
        </w:rPr>
      </w:pPr>
      <w:r w:rsidRPr="00EB06F7">
        <w:rPr>
          <w:rFonts w:ascii="Times New Roman" w:hAnsi="Times New Roman" w:cs="Times New Roman"/>
          <w:sz w:val="24"/>
          <w:szCs w:val="24"/>
        </w:rPr>
        <w:t xml:space="preserve">Wat vindt het grote publiek hier nu eigenlijk van? Uit de al eerder genoemde enquête van CentERdata blijkt dat maar weinig mensen dit een goed of een zeer goed idee vinden (Tabel 2). Eén op de vier Nederlanders vindt het een slecht idee en nog eens één op de vier vindt het zelfs een zeer slecht idee. </w:t>
      </w:r>
    </w:p>
    <w:p w14:paraId="3A2CA939" w14:textId="77777777" w:rsidR="005353F2" w:rsidRPr="00993DF3" w:rsidRDefault="0070750B">
      <w:pPr>
        <w:rPr>
          <w:sz w:val="24"/>
          <w:szCs w:val="24"/>
        </w:rPr>
      </w:pPr>
      <w:r w:rsidRPr="00993DF3">
        <w:rPr>
          <w:rFonts w:ascii="Times New Roman" w:hAnsi="Times New Roman" w:cs="Times New Roman"/>
          <w:b/>
          <w:bCs/>
          <w:sz w:val="24"/>
          <w:szCs w:val="24"/>
        </w:rPr>
        <w:t>Tabel 2 Indien een gemeente een lokale club in het betaald voetbal financieel wil ondersteunen, is dat (%)</w:t>
      </w:r>
    </w:p>
    <w:tbl>
      <w:tblPr>
        <w:tblW w:w="0" w:type="auto"/>
        <w:tblLayout w:type="fixed"/>
        <w:tblCellMar>
          <w:top w:w="55" w:type="dxa"/>
          <w:left w:w="55" w:type="dxa"/>
          <w:bottom w:w="55" w:type="dxa"/>
          <w:right w:w="55" w:type="dxa"/>
        </w:tblCellMar>
        <w:tblLook w:val="0000" w:firstRow="0" w:lastRow="0" w:firstColumn="0" w:lastColumn="0" w:noHBand="0" w:noVBand="0"/>
      </w:tblPr>
      <w:tblGrid>
        <w:gridCol w:w="2123"/>
        <w:gridCol w:w="1042"/>
        <w:gridCol w:w="1081"/>
      </w:tblGrid>
      <w:tr w:rsidR="005353F2" w:rsidRPr="00993DF3" w14:paraId="6A1CB96F" w14:textId="77777777">
        <w:trPr>
          <w:trHeight w:hRule="exact" w:val="346"/>
        </w:trPr>
        <w:tc>
          <w:tcPr>
            <w:tcW w:w="2123" w:type="dxa"/>
            <w:tcBorders>
              <w:bottom w:val="single" w:sz="1" w:space="0" w:color="000000"/>
            </w:tcBorders>
            <w:shd w:val="clear" w:color="auto" w:fill="FFFFFF"/>
          </w:tcPr>
          <w:p w14:paraId="5E64B131" w14:textId="77777777" w:rsidR="005353F2" w:rsidRPr="00993DF3" w:rsidRDefault="005353F2">
            <w:pPr>
              <w:snapToGrid w:val="0"/>
              <w:rPr>
                <w:sz w:val="24"/>
                <w:szCs w:val="24"/>
              </w:rPr>
            </w:pPr>
          </w:p>
        </w:tc>
        <w:tc>
          <w:tcPr>
            <w:tcW w:w="1042" w:type="dxa"/>
            <w:tcBorders>
              <w:left w:val="single" w:sz="1" w:space="0" w:color="000000"/>
              <w:bottom w:val="single" w:sz="1" w:space="0" w:color="000000"/>
            </w:tcBorders>
            <w:shd w:val="clear" w:color="auto" w:fill="FFFFFF"/>
          </w:tcPr>
          <w:p w14:paraId="57EE9B90" w14:textId="77777777" w:rsidR="005353F2" w:rsidRPr="00993DF3" w:rsidRDefault="0070750B">
            <w:pPr>
              <w:jc w:val="center"/>
              <w:rPr>
                <w:rFonts w:ascii="Times New Roman" w:hAnsi="Times New Roman" w:cs="Times New Roman"/>
                <w:b/>
                <w:bCs/>
                <w:sz w:val="24"/>
                <w:szCs w:val="24"/>
              </w:rPr>
            </w:pPr>
            <w:r w:rsidRPr="00993DF3">
              <w:rPr>
                <w:rFonts w:ascii="Times New Roman" w:hAnsi="Times New Roman" w:cs="Times New Roman"/>
                <w:b/>
                <w:bCs/>
                <w:sz w:val="24"/>
                <w:szCs w:val="24"/>
              </w:rPr>
              <w:t>Man</w:t>
            </w:r>
          </w:p>
        </w:tc>
        <w:tc>
          <w:tcPr>
            <w:tcW w:w="1081" w:type="dxa"/>
            <w:tcBorders>
              <w:left w:val="single" w:sz="1" w:space="0" w:color="000000"/>
              <w:bottom w:val="single" w:sz="1" w:space="0" w:color="000000"/>
            </w:tcBorders>
            <w:shd w:val="clear" w:color="auto" w:fill="FFFFFF"/>
          </w:tcPr>
          <w:p w14:paraId="77D2B954" w14:textId="77777777" w:rsidR="005353F2" w:rsidRPr="00993DF3" w:rsidRDefault="0070750B">
            <w:pPr>
              <w:jc w:val="center"/>
              <w:rPr>
                <w:rFonts w:ascii="Times New Roman" w:hAnsi="Times New Roman" w:cs="Times New Roman"/>
                <w:b/>
                <w:bCs/>
                <w:sz w:val="24"/>
                <w:szCs w:val="24"/>
              </w:rPr>
            </w:pPr>
            <w:r w:rsidRPr="00993DF3">
              <w:rPr>
                <w:rFonts w:ascii="Times New Roman" w:hAnsi="Times New Roman" w:cs="Times New Roman"/>
                <w:b/>
                <w:bCs/>
                <w:sz w:val="24"/>
                <w:szCs w:val="24"/>
              </w:rPr>
              <w:t>Vrouw</w:t>
            </w:r>
          </w:p>
        </w:tc>
      </w:tr>
      <w:tr w:rsidR="005353F2" w:rsidRPr="00993DF3" w14:paraId="1CD271D4" w14:textId="77777777">
        <w:trPr>
          <w:trHeight w:hRule="exact" w:val="346"/>
        </w:trPr>
        <w:tc>
          <w:tcPr>
            <w:tcW w:w="2123" w:type="dxa"/>
            <w:shd w:val="clear" w:color="auto" w:fill="FFFFFF"/>
          </w:tcPr>
          <w:p w14:paraId="6B02C325" w14:textId="77777777" w:rsidR="005353F2" w:rsidRPr="00993DF3" w:rsidRDefault="0070750B">
            <w:pPr>
              <w:rPr>
                <w:rFonts w:ascii="Times New Roman" w:hAnsi="Times New Roman" w:cs="Times New Roman"/>
                <w:sz w:val="24"/>
                <w:szCs w:val="24"/>
              </w:rPr>
            </w:pPr>
            <w:r w:rsidRPr="00993DF3">
              <w:rPr>
                <w:rFonts w:ascii="Times New Roman" w:hAnsi="Times New Roman" w:cs="Times New Roman"/>
                <w:b/>
                <w:bCs/>
                <w:sz w:val="24"/>
                <w:szCs w:val="24"/>
              </w:rPr>
              <w:t>Zeer slecht</w:t>
            </w:r>
          </w:p>
        </w:tc>
        <w:tc>
          <w:tcPr>
            <w:tcW w:w="1042" w:type="dxa"/>
            <w:tcBorders>
              <w:left w:val="single" w:sz="1" w:space="0" w:color="000000"/>
            </w:tcBorders>
            <w:shd w:val="clear" w:color="auto" w:fill="FFFFFF"/>
          </w:tcPr>
          <w:p w14:paraId="64054AE4" w14:textId="77777777" w:rsidR="005353F2" w:rsidRPr="00993DF3" w:rsidRDefault="0070750B">
            <w:pPr>
              <w:jc w:val="center"/>
              <w:rPr>
                <w:rFonts w:ascii="Times New Roman" w:hAnsi="Times New Roman" w:cs="Times New Roman"/>
                <w:sz w:val="24"/>
                <w:szCs w:val="24"/>
              </w:rPr>
            </w:pPr>
            <w:r w:rsidRPr="00993DF3">
              <w:rPr>
                <w:rFonts w:ascii="Times New Roman" w:hAnsi="Times New Roman" w:cs="Times New Roman"/>
                <w:sz w:val="24"/>
                <w:szCs w:val="24"/>
              </w:rPr>
              <w:t>28</w:t>
            </w:r>
          </w:p>
        </w:tc>
        <w:tc>
          <w:tcPr>
            <w:tcW w:w="1081" w:type="dxa"/>
            <w:tcBorders>
              <w:left w:val="single" w:sz="1" w:space="0" w:color="000000"/>
            </w:tcBorders>
            <w:shd w:val="clear" w:color="auto" w:fill="FFFFFF"/>
          </w:tcPr>
          <w:p w14:paraId="3A16EEC3" w14:textId="77777777" w:rsidR="005353F2" w:rsidRPr="00993DF3" w:rsidRDefault="0070750B">
            <w:pPr>
              <w:jc w:val="center"/>
              <w:rPr>
                <w:rFonts w:ascii="Times New Roman" w:hAnsi="Times New Roman" w:cs="Times New Roman"/>
                <w:b/>
                <w:bCs/>
                <w:sz w:val="24"/>
                <w:szCs w:val="24"/>
              </w:rPr>
            </w:pPr>
            <w:r w:rsidRPr="00993DF3">
              <w:rPr>
                <w:rFonts w:ascii="Times New Roman" w:hAnsi="Times New Roman" w:cs="Times New Roman"/>
                <w:sz w:val="24"/>
                <w:szCs w:val="24"/>
              </w:rPr>
              <w:t>23</w:t>
            </w:r>
          </w:p>
        </w:tc>
      </w:tr>
      <w:tr w:rsidR="005353F2" w:rsidRPr="00993DF3" w14:paraId="34534F36" w14:textId="77777777">
        <w:trPr>
          <w:trHeight w:hRule="exact" w:val="346"/>
        </w:trPr>
        <w:tc>
          <w:tcPr>
            <w:tcW w:w="2123" w:type="dxa"/>
            <w:shd w:val="clear" w:color="auto" w:fill="FFFFFF"/>
          </w:tcPr>
          <w:p w14:paraId="50659454" w14:textId="77777777" w:rsidR="005353F2" w:rsidRPr="00993DF3" w:rsidRDefault="0070750B">
            <w:pPr>
              <w:rPr>
                <w:rFonts w:ascii="Times New Roman" w:hAnsi="Times New Roman" w:cs="Times New Roman"/>
                <w:sz w:val="24"/>
                <w:szCs w:val="24"/>
              </w:rPr>
            </w:pPr>
            <w:r w:rsidRPr="00993DF3">
              <w:rPr>
                <w:rFonts w:ascii="Times New Roman" w:hAnsi="Times New Roman" w:cs="Times New Roman"/>
                <w:b/>
                <w:bCs/>
                <w:sz w:val="24"/>
                <w:szCs w:val="24"/>
              </w:rPr>
              <w:t>Slecht</w:t>
            </w:r>
          </w:p>
        </w:tc>
        <w:tc>
          <w:tcPr>
            <w:tcW w:w="1042" w:type="dxa"/>
            <w:tcBorders>
              <w:left w:val="single" w:sz="1" w:space="0" w:color="000000"/>
            </w:tcBorders>
            <w:shd w:val="clear" w:color="auto" w:fill="FFFFFF"/>
          </w:tcPr>
          <w:p w14:paraId="63F82AD6" w14:textId="77777777" w:rsidR="005353F2" w:rsidRPr="00993DF3" w:rsidRDefault="0070750B">
            <w:pPr>
              <w:jc w:val="center"/>
              <w:rPr>
                <w:rFonts w:ascii="Times New Roman" w:hAnsi="Times New Roman" w:cs="Times New Roman"/>
                <w:sz w:val="24"/>
                <w:szCs w:val="24"/>
              </w:rPr>
            </w:pPr>
            <w:r w:rsidRPr="00993DF3">
              <w:rPr>
                <w:rFonts w:ascii="Times New Roman" w:hAnsi="Times New Roman" w:cs="Times New Roman"/>
                <w:sz w:val="24"/>
                <w:szCs w:val="24"/>
              </w:rPr>
              <w:t>30</w:t>
            </w:r>
          </w:p>
        </w:tc>
        <w:tc>
          <w:tcPr>
            <w:tcW w:w="1081" w:type="dxa"/>
            <w:tcBorders>
              <w:left w:val="single" w:sz="1" w:space="0" w:color="000000"/>
            </w:tcBorders>
            <w:shd w:val="clear" w:color="auto" w:fill="FFFFFF"/>
          </w:tcPr>
          <w:p w14:paraId="42904928" w14:textId="77777777" w:rsidR="005353F2" w:rsidRPr="00993DF3" w:rsidRDefault="0070750B">
            <w:pPr>
              <w:jc w:val="center"/>
              <w:rPr>
                <w:rFonts w:ascii="Times New Roman" w:hAnsi="Times New Roman" w:cs="Times New Roman"/>
                <w:b/>
                <w:bCs/>
                <w:sz w:val="24"/>
                <w:szCs w:val="24"/>
              </w:rPr>
            </w:pPr>
            <w:r w:rsidRPr="00993DF3">
              <w:rPr>
                <w:rFonts w:ascii="Times New Roman" w:hAnsi="Times New Roman" w:cs="Times New Roman"/>
                <w:sz w:val="24"/>
                <w:szCs w:val="24"/>
              </w:rPr>
              <w:t>25</w:t>
            </w:r>
          </w:p>
        </w:tc>
      </w:tr>
      <w:tr w:rsidR="005353F2" w:rsidRPr="00993DF3" w14:paraId="4195C184" w14:textId="77777777">
        <w:trPr>
          <w:trHeight w:hRule="exact" w:val="346"/>
        </w:trPr>
        <w:tc>
          <w:tcPr>
            <w:tcW w:w="2123" w:type="dxa"/>
            <w:shd w:val="clear" w:color="auto" w:fill="FFFFFF"/>
          </w:tcPr>
          <w:p w14:paraId="7B128F9F" w14:textId="77777777" w:rsidR="005353F2" w:rsidRPr="00993DF3" w:rsidRDefault="0070750B">
            <w:pPr>
              <w:rPr>
                <w:rFonts w:ascii="Times New Roman" w:hAnsi="Times New Roman" w:cs="Times New Roman"/>
                <w:sz w:val="24"/>
                <w:szCs w:val="24"/>
              </w:rPr>
            </w:pPr>
            <w:r w:rsidRPr="00993DF3">
              <w:rPr>
                <w:rFonts w:ascii="Times New Roman" w:hAnsi="Times New Roman" w:cs="Times New Roman"/>
                <w:b/>
                <w:bCs/>
                <w:sz w:val="24"/>
                <w:szCs w:val="24"/>
              </w:rPr>
              <w:t>Niet goed en niet slecht</w:t>
            </w:r>
          </w:p>
        </w:tc>
        <w:tc>
          <w:tcPr>
            <w:tcW w:w="1042" w:type="dxa"/>
            <w:tcBorders>
              <w:left w:val="single" w:sz="1" w:space="0" w:color="000000"/>
            </w:tcBorders>
            <w:shd w:val="clear" w:color="auto" w:fill="FFFFFF"/>
          </w:tcPr>
          <w:p w14:paraId="121CD222" w14:textId="77777777" w:rsidR="005353F2" w:rsidRPr="00993DF3" w:rsidRDefault="0070750B">
            <w:pPr>
              <w:jc w:val="center"/>
              <w:rPr>
                <w:rFonts w:ascii="Times New Roman" w:hAnsi="Times New Roman" w:cs="Times New Roman"/>
                <w:sz w:val="24"/>
                <w:szCs w:val="24"/>
              </w:rPr>
            </w:pPr>
            <w:r w:rsidRPr="00993DF3">
              <w:rPr>
                <w:rFonts w:ascii="Times New Roman" w:hAnsi="Times New Roman" w:cs="Times New Roman"/>
                <w:sz w:val="24"/>
                <w:szCs w:val="24"/>
              </w:rPr>
              <w:t>29</w:t>
            </w:r>
          </w:p>
        </w:tc>
        <w:tc>
          <w:tcPr>
            <w:tcW w:w="1081" w:type="dxa"/>
            <w:tcBorders>
              <w:left w:val="single" w:sz="1" w:space="0" w:color="000000"/>
            </w:tcBorders>
            <w:shd w:val="clear" w:color="auto" w:fill="FFFFFF"/>
          </w:tcPr>
          <w:p w14:paraId="76B61021" w14:textId="77777777" w:rsidR="005353F2" w:rsidRPr="00993DF3" w:rsidRDefault="0070750B">
            <w:pPr>
              <w:jc w:val="center"/>
              <w:rPr>
                <w:rFonts w:ascii="Times New Roman" w:hAnsi="Times New Roman" w:cs="Times New Roman"/>
                <w:b/>
                <w:bCs/>
                <w:sz w:val="24"/>
                <w:szCs w:val="24"/>
              </w:rPr>
            </w:pPr>
            <w:r w:rsidRPr="00993DF3">
              <w:rPr>
                <w:rFonts w:ascii="Times New Roman" w:hAnsi="Times New Roman" w:cs="Times New Roman"/>
                <w:sz w:val="24"/>
                <w:szCs w:val="24"/>
              </w:rPr>
              <w:t>40</w:t>
            </w:r>
          </w:p>
        </w:tc>
      </w:tr>
      <w:tr w:rsidR="005353F2" w:rsidRPr="00993DF3" w14:paraId="2E4A9DCA" w14:textId="77777777">
        <w:trPr>
          <w:trHeight w:hRule="exact" w:val="346"/>
        </w:trPr>
        <w:tc>
          <w:tcPr>
            <w:tcW w:w="2123" w:type="dxa"/>
            <w:shd w:val="clear" w:color="auto" w:fill="FFFFFF"/>
          </w:tcPr>
          <w:p w14:paraId="292DC4CA" w14:textId="77777777" w:rsidR="005353F2" w:rsidRPr="00993DF3" w:rsidRDefault="0070750B">
            <w:pPr>
              <w:rPr>
                <w:rFonts w:ascii="Times New Roman" w:hAnsi="Times New Roman" w:cs="Times New Roman"/>
                <w:sz w:val="24"/>
                <w:szCs w:val="24"/>
              </w:rPr>
            </w:pPr>
            <w:r w:rsidRPr="00993DF3">
              <w:rPr>
                <w:rFonts w:ascii="Times New Roman" w:hAnsi="Times New Roman" w:cs="Times New Roman"/>
                <w:b/>
                <w:bCs/>
                <w:sz w:val="24"/>
                <w:szCs w:val="24"/>
              </w:rPr>
              <w:t>Goed</w:t>
            </w:r>
          </w:p>
        </w:tc>
        <w:tc>
          <w:tcPr>
            <w:tcW w:w="1042" w:type="dxa"/>
            <w:tcBorders>
              <w:left w:val="single" w:sz="1" w:space="0" w:color="000000"/>
            </w:tcBorders>
            <w:shd w:val="clear" w:color="auto" w:fill="FFFFFF"/>
          </w:tcPr>
          <w:p w14:paraId="5BE33912" w14:textId="77777777" w:rsidR="005353F2" w:rsidRPr="00993DF3" w:rsidRDefault="0070750B">
            <w:pPr>
              <w:jc w:val="center"/>
              <w:rPr>
                <w:rFonts w:ascii="Times New Roman" w:hAnsi="Times New Roman" w:cs="Times New Roman"/>
                <w:sz w:val="24"/>
                <w:szCs w:val="24"/>
              </w:rPr>
            </w:pPr>
            <w:r w:rsidRPr="00993DF3">
              <w:rPr>
                <w:rFonts w:ascii="Times New Roman" w:hAnsi="Times New Roman" w:cs="Times New Roman"/>
                <w:sz w:val="24"/>
                <w:szCs w:val="24"/>
              </w:rPr>
              <w:t>12</w:t>
            </w:r>
          </w:p>
        </w:tc>
        <w:tc>
          <w:tcPr>
            <w:tcW w:w="1081" w:type="dxa"/>
            <w:tcBorders>
              <w:left w:val="single" w:sz="1" w:space="0" w:color="000000"/>
            </w:tcBorders>
            <w:shd w:val="clear" w:color="auto" w:fill="FFFFFF"/>
          </w:tcPr>
          <w:p w14:paraId="37115084" w14:textId="77777777" w:rsidR="005353F2" w:rsidRPr="00993DF3" w:rsidRDefault="0070750B">
            <w:pPr>
              <w:jc w:val="center"/>
              <w:rPr>
                <w:rFonts w:ascii="Times New Roman" w:hAnsi="Times New Roman" w:cs="Times New Roman"/>
                <w:b/>
                <w:bCs/>
                <w:sz w:val="24"/>
                <w:szCs w:val="24"/>
              </w:rPr>
            </w:pPr>
            <w:r w:rsidRPr="00993DF3">
              <w:rPr>
                <w:rFonts w:ascii="Times New Roman" w:hAnsi="Times New Roman" w:cs="Times New Roman"/>
                <w:sz w:val="24"/>
                <w:szCs w:val="24"/>
              </w:rPr>
              <w:t>11</w:t>
            </w:r>
          </w:p>
        </w:tc>
      </w:tr>
      <w:tr w:rsidR="005353F2" w:rsidRPr="00993DF3" w14:paraId="35FD42B9" w14:textId="77777777">
        <w:trPr>
          <w:trHeight w:hRule="exact" w:val="346"/>
        </w:trPr>
        <w:tc>
          <w:tcPr>
            <w:tcW w:w="2123" w:type="dxa"/>
            <w:shd w:val="clear" w:color="auto" w:fill="FFFFFF"/>
          </w:tcPr>
          <w:p w14:paraId="7F940CF2" w14:textId="77777777" w:rsidR="005353F2" w:rsidRPr="00993DF3" w:rsidRDefault="0070750B">
            <w:pPr>
              <w:rPr>
                <w:rFonts w:ascii="Times New Roman" w:hAnsi="Times New Roman" w:cs="Times New Roman"/>
                <w:sz w:val="24"/>
                <w:szCs w:val="24"/>
                <w:u w:val="single"/>
              </w:rPr>
            </w:pPr>
            <w:r w:rsidRPr="00993DF3">
              <w:rPr>
                <w:rFonts w:ascii="Times New Roman" w:hAnsi="Times New Roman" w:cs="Times New Roman"/>
                <w:b/>
                <w:bCs/>
                <w:sz w:val="24"/>
                <w:szCs w:val="24"/>
              </w:rPr>
              <w:t>Zeer goed</w:t>
            </w:r>
          </w:p>
        </w:tc>
        <w:tc>
          <w:tcPr>
            <w:tcW w:w="1042" w:type="dxa"/>
            <w:tcBorders>
              <w:left w:val="single" w:sz="1" w:space="0" w:color="000000"/>
            </w:tcBorders>
            <w:shd w:val="clear" w:color="auto" w:fill="FFFFFF"/>
          </w:tcPr>
          <w:p w14:paraId="6DC19373" w14:textId="77777777" w:rsidR="005353F2" w:rsidRPr="00993DF3" w:rsidRDefault="0070750B">
            <w:pPr>
              <w:jc w:val="center"/>
              <w:rPr>
                <w:rFonts w:ascii="Times New Roman" w:hAnsi="Times New Roman" w:cs="Times New Roman"/>
                <w:sz w:val="24"/>
                <w:szCs w:val="24"/>
                <w:u w:val="single"/>
              </w:rPr>
            </w:pPr>
            <w:r w:rsidRPr="00993DF3">
              <w:rPr>
                <w:rFonts w:ascii="Times New Roman" w:hAnsi="Times New Roman" w:cs="Times New Roman"/>
                <w:sz w:val="24"/>
                <w:szCs w:val="24"/>
                <w:u w:val="single"/>
              </w:rPr>
              <w:t>1</w:t>
            </w:r>
          </w:p>
        </w:tc>
        <w:tc>
          <w:tcPr>
            <w:tcW w:w="1081" w:type="dxa"/>
            <w:tcBorders>
              <w:left w:val="single" w:sz="1" w:space="0" w:color="000000"/>
            </w:tcBorders>
            <w:shd w:val="clear" w:color="auto" w:fill="FFFFFF"/>
          </w:tcPr>
          <w:p w14:paraId="3642A694" w14:textId="77777777" w:rsidR="005353F2" w:rsidRPr="00993DF3" w:rsidRDefault="0070750B">
            <w:pPr>
              <w:jc w:val="center"/>
              <w:rPr>
                <w:rFonts w:ascii="Times New Roman" w:hAnsi="Times New Roman" w:cs="Times New Roman"/>
                <w:b/>
                <w:bCs/>
                <w:sz w:val="24"/>
                <w:szCs w:val="24"/>
              </w:rPr>
            </w:pPr>
            <w:r w:rsidRPr="00993DF3">
              <w:rPr>
                <w:rFonts w:ascii="Times New Roman" w:hAnsi="Times New Roman" w:cs="Times New Roman"/>
                <w:sz w:val="24"/>
                <w:szCs w:val="24"/>
                <w:u w:val="single"/>
              </w:rPr>
              <w:t>1</w:t>
            </w:r>
          </w:p>
        </w:tc>
      </w:tr>
      <w:tr w:rsidR="005353F2" w:rsidRPr="00993DF3" w14:paraId="24248E42" w14:textId="77777777">
        <w:trPr>
          <w:trHeight w:hRule="exact" w:val="346"/>
        </w:trPr>
        <w:tc>
          <w:tcPr>
            <w:tcW w:w="2123" w:type="dxa"/>
            <w:shd w:val="clear" w:color="auto" w:fill="FFFFFF"/>
          </w:tcPr>
          <w:p w14:paraId="4FF58D92" w14:textId="77777777" w:rsidR="005353F2" w:rsidRPr="00993DF3" w:rsidRDefault="0070750B">
            <w:pPr>
              <w:rPr>
                <w:rFonts w:ascii="Times New Roman" w:hAnsi="Times New Roman" w:cs="Times New Roman"/>
                <w:sz w:val="24"/>
                <w:szCs w:val="24"/>
              </w:rPr>
            </w:pPr>
            <w:r w:rsidRPr="00993DF3">
              <w:rPr>
                <w:rFonts w:ascii="Times New Roman" w:hAnsi="Times New Roman" w:cs="Times New Roman"/>
                <w:b/>
                <w:bCs/>
                <w:sz w:val="24"/>
                <w:szCs w:val="24"/>
              </w:rPr>
              <w:t>Totaal</w:t>
            </w:r>
          </w:p>
        </w:tc>
        <w:tc>
          <w:tcPr>
            <w:tcW w:w="1042" w:type="dxa"/>
            <w:tcBorders>
              <w:left w:val="single" w:sz="1" w:space="0" w:color="000000"/>
            </w:tcBorders>
            <w:shd w:val="clear" w:color="auto" w:fill="FFFFFF"/>
          </w:tcPr>
          <w:p w14:paraId="1A44F621" w14:textId="77777777" w:rsidR="005353F2" w:rsidRPr="00993DF3" w:rsidRDefault="0070750B">
            <w:pPr>
              <w:jc w:val="center"/>
              <w:rPr>
                <w:rFonts w:ascii="Times New Roman" w:hAnsi="Times New Roman" w:cs="Times New Roman"/>
                <w:sz w:val="24"/>
                <w:szCs w:val="24"/>
              </w:rPr>
            </w:pPr>
            <w:r w:rsidRPr="00993DF3">
              <w:rPr>
                <w:rFonts w:ascii="Times New Roman" w:hAnsi="Times New Roman" w:cs="Times New Roman"/>
                <w:sz w:val="24"/>
                <w:szCs w:val="24"/>
              </w:rPr>
              <w:t>100</w:t>
            </w:r>
          </w:p>
        </w:tc>
        <w:tc>
          <w:tcPr>
            <w:tcW w:w="1081" w:type="dxa"/>
            <w:tcBorders>
              <w:left w:val="single" w:sz="1" w:space="0" w:color="000000"/>
            </w:tcBorders>
            <w:shd w:val="clear" w:color="auto" w:fill="FFFFFF"/>
          </w:tcPr>
          <w:p w14:paraId="62A30C87" w14:textId="77777777" w:rsidR="005353F2" w:rsidRPr="00993DF3" w:rsidRDefault="0070750B">
            <w:pPr>
              <w:jc w:val="center"/>
              <w:rPr>
                <w:rFonts w:ascii="Times New Roman" w:hAnsi="Times New Roman" w:cs="Times New Roman"/>
                <w:sz w:val="24"/>
                <w:szCs w:val="24"/>
              </w:rPr>
            </w:pPr>
            <w:r w:rsidRPr="00993DF3">
              <w:rPr>
                <w:rFonts w:ascii="Times New Roman" w:hAnsi="Times New Roman" w:cs="Times New Roman"/>
                <w:sz w:val="24"/>
                <w:szCs w:val="24"/>
              </w:rPr>
              <w:t>100</w:t>
            </w:r>
          </w:p>
        </w:tc>
      </w:tr>
    </w:tbl>
    <w:p w14:paraId="29722D14" w14:textId="77777777" w:rsidR="00863695" w:rsidRPr="00993DF3" w:rsidRDefault="00863695">
      <w:pPr>
        <w:rPr>
          <w:rFonts w:ascii="Times New Roman" w:hAnsi="Times New Roman" w:cs="Times New Roman"/>
          <w:sz w:val="24"/>
          <w:szCs w:val="24"/>
        </w:rPr>
      </w:pPr>
    </w:p>
    <w:p w14:paraId="1C382D76" w14:textId="77777777" w:rsidR="005353F2" w:rsidRPr="00EB06F7" w:rsidRDefault="0070750B" w:rsidP="000503D3">
      <w:pPr>
        <w:jc w:val="both"/>
        <w:rPr>
          <w:rFonts w:ascii="Times New Roman" w:hAnsi="Times New Roman" w:cs="Times New Roman"/>
          <w:sz w:val="24"/>
          <w:szCs w:val="24"/>
        </w:rPr>
      </w:pPr>
      <w:r w:rsidRPr="00EB06F7">
        <w:rPr>
          <w:rFonts w:ascii="Times New Roman" w:hAnsi="Times New Roman" w:cs="Times New Roman"/>
          <w:sz w:val="24"/>
          <w:szCs w:val="24"/>
        </w:rPr>
        <w:t>Dat zoveel Nederlanders tegen financiële steun zijn is op zich niet zo verbazingwekkend als we het gegeven in ogenschouw nemen dat zoveel Nederlanders geen supporter van een betaald voetbalclub. Maar ook als iemand geen supporter is kan hij of zij wel plezier ontlenen aan het betaald voetbal. We onderscheiden vier (4) categorieën voetballiefhebbers in oplopende mate van passie voor deze sport:</w:t>
      </w:r>
    </w:p>
    <w:p w14:paraId="3234CF80" w14:textId="77777777" w:rsidR="005353F2" w:rsidRPr="00EB06F7" w:rsidRDefault="0070750B">
      <w:pPr>
        <w:spacing w:after="0"/>
        <w:rPr>
          <w:rFonts w:ascii="Times New Roman" w:hAnsi="Times New Roman" w:cs="Times New Roman"/>
          <w:sz w:val="24"/>
          <w:szCs w:val="24"/>
        </w:rPr>
      </w:pPr>
      <w:r w:rsidRPr="00EB06F7">
        <w:rPr>
          <w:rFonts w:ascii="Times New Roman" w:hAnsi="Times New Roman" w:cs="Times New Roman"/>
          <w:sz w:val="24"/>
          <w:szCs w:val="24"/>
        </w:rPr>
        <w:t>1.</w:t>
      </w:r>
      <w:r w:rsidRPr="00EB06F7">
        <w:rPr>
          <w:rFonts w:ascii="Times New Roman" w:hAnsi="Times New Roman" w:cs="Times New Roman"/>
          <w:sz w:val="24"/>
          <w:szCs w:val="24"/>
        </w:rPr>
        <w:tab/>
        <w:t>Kijkt nooit voetbal op tv</w:t>
      </w:r>
    </w:p>
    <w:p w14:paraId="2F092DDA" w14:textId="77777777" w:rsidR="005353F2" w:rsidRPr="00EB06F7" w:rsidRDefault="0070750B">
      <w:pPr>
        <w:spacing w:after="0"/>
        <w:rPr>
          <w:rFonts w:ascii="Times New Roman" w:hAnsi="Times New Roman" w:cs="Times New Roman"/>
          <w:sz w:val="24"/>
          <w:szCs w:val="24"/>
        </w:rPr>
      </w:pPr>
      <w:r w:rsidRPr="00EB06F7">
        <w:rPr>
          <w:rFonts w:ascii="Times New Roman" w:hAnsi="Times New Roman" w:cs="Times New Roman"/>
          <w:sz w:val="24"/>
          <w:szCs w:val="24"/>
        </w:rPr>
        <w:t>2.</w:t>
      </w:r>
      <w:r w:rsidRPr="00EB06F7">
        <w:rPr>
          <w:rFonts w:ascii="Times New Roman" w:hAnsi="Times New Roman" w:cs="Times New Roman"/>
          <w:sz w:val="24"/>
          <w:szCs w:val="24"/>
        </w:rPr>
        <w:tab/>
        <w:t>Kijkt voetbal op tv maar is geen supporter van een club in het betaald</w:t>
      </w:r>
      <w:r w:rsidR="000503D3" w:rsidRPr="00EB06F7">
        <w:rPr>
          <w:rFonts w:ascii="Times New Roman" w:hAnsi="Times New Roman" w:cs="Times New Roman"/>
          <w:sz w:val="24"/>
          <w:szCs w:val="24"/>
        </w:rPr>
        <w:t>e</w:t>
      </w:r>
      <w:r w:rsidRPr="00EB06F7">
        <w:rPr>
          <w:rFonts w:ascii="Times New Roman" w:hAnsi="Times New Roman" w:cs="Times New Roman"/>
          <w:sz w:val="24"/>
          <w:szCs w:val="24"/>
        </w:rPr>
        <w:t xml:space="preserve"> voetbal </w:t>
      </w:r>
    </w:p>
    <w:p w14:paraId="0E30E18F" w14:textId="77777777" w:rsidR="005353F2" w:rsidRPr="00EB06F7" w:rsidRDefault="0070750B">
      <w:pPr>
        <w:spacing w:after="0"/>
        <w:rPr>
          <w:rFonts w:ascii="Times New Roman" w:hAnsi="Times New Roman" w:cs="Times New Roman"/>
          <w:sz w:val="24"/>
          <w:szCs w:val="24"/>
        </w:rPr>
      </w:pPr>
      <w:r w:rsidRPr="00EB06F7">
        <w:rPr>
          <w:rFonts w:ascii="Times New Roman" w:hAnsi="Times New Roman" w:cs="Times New Roman"/>
          <w:sz w:val="24"/>
          <w:szCs w:val="24"/>
        </w:rPr>
        <w:t>3.</w:t>
      </w:r>
      <w:r w:rsidRPr="00EB06F7">
        <w:rPr>
          <w:rFonts w:ascii="Times New Roman" w:hAnsi="Times New Roman" w:cs="Times New Roman"/>
          <w:sz w:val="24"/>
          <w:szCs w:val="24"/>
        </w:rPr>
        <w:tab/>
        <w:t>Kijkt voetbal op tv en is supporter van een club in het betaald</w:t>
      </w:r>
      <w:r w:rsidR="000503D3" w:rsidRPr="00EB06F7">
        <w:rPr>
          <w:rFonts w:ascii="Times New Roman" w:hAnsi="Times New Roman" w:cs="Times New Roman"/>
          <w:sz w:val="24"/>
          <w:szCs w:val="24"/>
        </w:rPr>
        <w:t>e</w:t>
      </w:r>
      <w:r w:rsidRPr="00EB06F7">
        <w:rPr>
          <w:rFonts w:ascii="Times New Roman" w:hAnsi="Times New Roman" w:cs="Times New Roman"/>
          <w:sz w:val="24"/>
          <w:szCs w:val="24"/>
        </w:rPr>
        <w:t xml:space="preserve"> voetbal maar bezoekt </w:t>
      </w:r>
      <w:r w:rsidRPr="00EB06F7">
        <w:rPr>
          <w:rFonts w:ascii="Times New Roman" w:hAnsi="Times New Roman" w:cs="Times New Roman"/>
          <w:sz w:val="24"/>
          <w:szCs w:val="24"/>
        </w:rPr>
        <w:tab/>
        <w:t>nooit een thuiswedstrijd van de club waar hij of zij supporter van is</w:t>
      </w:r>
    </w:p>
    <w:p w14:paraId="0449EADE" w14:textId="77777777" w:rsidR="005353F2" w:rsidRPr="00EB06F7" w:rsidRDefault="0070750B">
      <w:pPr>
        <w:spacing w:after="0"/>
        <w:rPr>
          <w:rFonts w:ascii="Times New Roman" w:hAnsi="Times New Roman" w:cs="Times New Roman"/>
          <w:sz w:val="24"/>
          <w:szCs w:val="24"/>
        </w:rPr>
      </w:pPr>
      <w:r w:rsidRPr="00EB06F7">
        <w:rPr>
          <w:rFonts w:ascii="Times New Roman" w:hAnsi="Times New Roman" w:cs="Times New Roman"/>
          <w:sz w:val="24"/>
          <w:szCs w:val="24"/>
        </w:rPr>
        <w:t>4.</w:t>
      </w:r>
      <w:r w:rsidRPr="00EB06F7">
        <w:rPr>
          <w:rFonts w:ascii="Times New Roman" w:hAnsi="Times New Roman" w:cs="Times New Roman"/>
          <w:sz w:val="24"/>
          <w:szCs w:val="24"/>
        </w:rPr>
        <w:tab/>
        <w:t xml:space="preserve">Bezoekt thuiswedstrijden van de club waar hij of zij supporter van is. </w:t>
      </w:r>
    </w:p>
    <w:p w14:paraId="22C3F7CE" w14:textId="77777777" w:rsidR="005353F2" w:rsidRPr="00EB06F7" w:rsidRDefault="005353F2">
      <w:pPr>
        <w:spacing w:after="0"/>
        <w:rPr>
          <w:rFonts w:ascii="Times New Roman" w:hAnsi="Times New Roman" w:cs="Times New Roman"/>
          <w:sz w:val="24"/>
          <w:szCs w:val="24"/>
        </w:rPr>
      </w:pPr>
    </w:p>
    <w:p w14:paraId="5306534E" w14:textId="77777777" w:rsidR="005353F2" w:rsidRPr="00EB06F7" w:rsidRDefault="0070750B" w:rsidP="000503D3">
      <w:pPr>
        <w:jc w:val="both"/>
        <w:rPr>
          <w:rFonts w:ascii="Times New Roman" w:hAnsi="Times New Roman" w:cs="Times New Roman"/>
          <w:sz w:val="24"/>
          <w:szCs w:val="24"/>
        </w:rPr>
      </w:pPr>
      <w:r w:rsidRPr="00EB06F7">
        <w:rPr>
          <w:rFonts w:ascii="Times New Roman" w:hAnsi="Times New Roman" w:cs="Times New Roman"/>
          <w:sz w:val="24"/>
          <w:szCs w:val="24"/>
        </w:rPr>
        <w:lastRenderedPageBreak/>
        <w:t xml:space="preserve">De onderste regel van tabel 3 laat zien dat één (1) op de drie (3) mannen en meer dan de helft van de vrouwen zelfs nooit naar voetbal op tv kijkt. Van de mannen bezoekt 16 </w:t>
      </w:r>
      <w:r w:rsidR="008A251D" w:rsidRPr="00EB06F7">
        <w:rPr>
          <w:rFonts w:ascii="Times New Roman" w:hAnsi="Times New Roman" w:cs="Times New Roman"/>
          <w:sz w:val="24"/>
          <w:szCs w:val="24"/>
        </w:rPr>
        <w:t xml:space="preserve">procent </w:t>
      </w:r>
      <w:r w:rsidRPr="00EB06F7">
        <w:rPr>
          <w:rFonts w:ascii="Times New Roman" w:hAnsi="Times New Roman" w:cs="Times New Roman"/>
          <w:sz w:val="24"/>
          <w:szCs w:val="24"/>
        </w:rPr>
        <w:t xml:space="preserve">thuiswedstrijden van de club waar hij supporter van is, bij de vrouwen is dat </w:t>
      </w:r>
      <w:r w:rsidR="000503D3" w:rsidRPr="00EB06F7">
        <w:rPr>
          <w:rFonts w:ascii="Times New Roman" w:hAnsi="Times New Roman" w:cs="Times New Roman"/>
          <w:sz w:val="24"/>
          <w:szCs w:val="24"/>
        </w:rPr>
        <w:t>zes (</w:t>
      </w:r>
      <w:r w:rsidRPr="00EB06F7">
        <w:rPr>
          <w:rFonts w:ascii="Times New Roman" w:hAnsi="Times New Roman" w:cs="Times New Roman"/>
          <w:sz w:val="24"/>
          <w:szCs w:val="24"/>
        </w:rPr>
        <w:t>6</w:t>
      </w:r>
      <w:r w:rsidR="000503D3" w:rsidRPr="00EB06F7">
        <w:rPr>
          <w:rFonts w:ascii="Times New Roman" w:hAnsi="Times New Roman" w:cs="Times New Roman"/>
          <w:sz w:val="24"/>
          <w:szCs w:val="24"/>
        </w:rPr>
        <w:t>)</w:t>
      </w:r>
      <w:r w:rsidRPr="00EB06F7">
        <w:rPr>
          <w:rFonts w:ascii="Times New Roman" w:hAnsi="Times New Roman" w:cs="Times New Roman"/>
          <w:sz w:val="24"/>
          <w:szCs w:val="24"/>
        </w:rPr>
        <w:t xml:space="preserve"> procent. De mening over de steun van gemeenten aan betaald voetbal is positiever naarmate iemand meer van voetbal houdt. Van de mannen die thuiswedstrijden van hun favoriete club bezoeken vindt 31 procent steun van gemeenten een goed idee, bij de desbetreffende vrouwen is dat 24 procent. Maar je kunt dit ook anders stellen: meer dan twee (2) op de drie (3) mannen die thuiswedstrijden van hun favoriete club bezoeken vindt gemeentesteun geen goed idee, bij vrouwen is dat zelfs drie op de vier. We hebben ook nog onderzocht in hoeverre supporters van Ajax, Feyenoord en PSV van dit algemene beeld afwijken maar dit blijkt niet het geval te zijn. De supporters van de grote drie </w:t>
      </w:r>
      <w:r w:rsidR="000503D3" w:rsidRPr="00EB06F7">
        <w:rPr>
          <w:rFonts w:ascii="Times New Roman" w:hAnsi="Times New Roman" w:cs="Times New Roman"/>
          <w:sz w:val="24"/>
          <w:szCs w:val="24"/>
        </w:rPr>
        <w:t xml:space="preserve">clubs </w:t>
      </w:r>
      <w:r w:rsidRPr="00EB06F7">
        <w:rPr>
          <w:rFonts w:ascii="Times New Roman" w:hAnsi="Times New Roman" w:cs="Times New Roman"/>
          <w:sz w:val="24"/>
          <w:szCs w:val="24"/>
        </w:rPr>
        <w:t xml:space="preserve">hebben geen afwijkende mening ten opzichte van de supporters van andere clubs. </w:t>
      </w:r>
    </w:p>
    <w:p w14:paraId="34B6BD64" w14:textId="77777777" w:rsidR="005353F2" w:rsidRPr="00EB06F7" w:rsidRDefault="0070750B">
      <w:pPr>
        <w:jc w:val="both"/>
      </w:pPr>
      <w:r w:rsidRPr="00EB06F7">
        <w:rPr>
          <w:rFonts w:ascii="Times New Roman" w:hAnsi="Times New Roman" w:cs="Times New Roman"/>
          <w:b/>
          <w:bCs/>
          <w:sz w:val="24"/>
          <w:szCs w:val="24"/>
        </w:rPr>
        <w:t>Tabel 3 Indien een gemeente een lokale club in het betaald voetbal financieel wil ondersteunen, is dat (%)</w:t>
      </w:r>
    </w:p>
    <w:tbl>
      <w:tblPr>
        <w:tblW w:w="0" w:type="auto"/>
        <w:tblInd w:w="-55" w:type="dxa"/>
        <w:tblLayout w:type="fixed"/>
        <w:tblCellMar>
          <w:left w:w="0" w:type="dxa"/>
          <w:right w:w="0" w:type="dxa"/>
        </w:tblCellMar>
        <w:tblLook w:val="0000" w:firstRow="0" w:lastRow="0" w:firstColumn="0" w:lastColumn="0" w:noHBand="0" w:noVBand="0"/>
      </w:tblPr>
      <w:tblGrid>
        <w:gridCol w:w="1137"/>
        <w:gridCol w:w="792"/>
        <w:gridCol w:w="526"/>
        <w:gridCol w:w="757"/>
        <w:gridCol w:w="747"/>
        <w:gridCol w:w="722"/>
        <w:gridCol w:w="35"/>
        <w:gridCol w:w="747"/>
        <w:gridCol w:w="757"/>
        <w:gridCol w:w="747"/>
        <w:gridCol w:w="756"/>
        <w:gridCol w:w="746"/>
        <w:gridCol w:w="21"/>
      </w:tblGrid>
      <w:tr w:rsidR="005353F2" w:rsidRPr="00993DF3" w14:paraId="474DA16A" w14:textId="77777777" w:rsidTr="00993DF3">
        <w:trPr>
          <w:trHeight w:hRule="exact" w:val="346"/>
        </w:trPr>
        <w:tc>
          <w:tcPr>
            <w:tcW w:w="1137" w:type="dxa"/>
            <w:tcBorders>
              <w:bottom w:val="single" w:sz="1" w:space="0" w:color="000000"/>
            </w:tcBorders>
            <w:shd w:val="clear" w:color="auto" w:fill="FFFFFF"/>
          </w:tcPr>
          <w:p w14:paraId="618C67F0" w14:textId="77777777" w:rsidR="005353F2" w:rsidRPr="00993DF3" w:rsidRDefault="005353F2" w:rsidP="00863695">
            <w:pPr>
              <w:rPr>
                <w:rFonts w:ascii="Times New Roman" w:hAnsi="Times New Roman" w:cs="Times New Roman"/>
                <w:sz w:val="24"/>
                <w:szCs w:val="24"/>
              </w:rPr>
            </w:pPr>
          </w:p>
        </w:tc>
        <w:tc>
          <w:tcPr>
            <w:tcW w:w="3544" w:type="dxa"/>
            <w:gridSpan w:val="5"/>
            <w:tcBorders>
              <w:left w:val="single" w:sz="1" w:space="0" w:color="000000"/>
              <w:bottom w:val="single" w:sz="1" w:space="0" w:color="000000"/>
            </w:tcBorders>
            <w:shd w:val="clear" w:color="auto" w:fill="FFFFFF"/>
          </w:tcPr>
          <w:p w14:paraId="627C4E62" w14:textId="77777777" w:rsidR="005353F2" w:rsidRPr="00993DF3" w:rsidRDefault="00863695" w:rsidP="00863695">
            <w:pPr>
              <w:rPr>
                <w:rFonts w:ascii="Times New Roman" w:hAnsi="Times New Roman" w:cs="Times New Roman"/>
                <w:b/>
                <w:sz w:val="24"/>
                <w:szCs w:val="24"/>
              </w:rPr>
            </w:pPr>
            <w:r w:rsidRPr="00993DF3">
              <w:rPr>
                <w:rFonts w:ascii="Times New Roman" w:hAnsi="Times New Roman" w:cs="Times New Roman"/>
                <w:b/>
                <w:sz w:val="24"/>
                <w:szCs w:val="24"/>
              </w:rPr>
              <w:t xml:space="preserve">  </w:t>
            </w:r>
            <w:r w:rsidR="002D4907" w:rsidRPr="00993DF3">
              <w:rPr>
                <w:rFonts w:ascii="Times New Roman" w:hAnsi="Times New Roman" w:cs="Times New Roman"/>
                <w:b/>
                <w:sz w:val="24"/>
                <w:szCs w:val="24"/>
              </w:rPr>
              <w:t xml:space="preserve">  Mannen naar categorie</w:t>
            </w:r>
          </w:p>
        </w:tc>
        <w:tc>
          <w:tcPr>
            <w:tcW w:w="3784" w:type="dxa"/>
            <w:gridSpan w:val="6"/>
            <w:tcBorders>
              <w:left w:val="single" w:sz="1" w:space="0" w:color="000000"/>
              <w:bottom w:val="single" w:sz="1" w:space="0" w:color="000000"/>
            </w:tcBorders>
            <w:shd w:val="clear" w:color="auto" w:fill="FFFFFF"/>
          </w:tcPr>
          <w:p w14:paraId="55D7EA87" w14:textId="77777777" w:rsidR="005353F2" w:rsidRPr="00993DF3" w:rsidRDefault="002D4907" w:rsidP="00863695">
            <w:pPr>
              <w:rPr>
                <w:rFonts w:ascii="Times New Roman" w:hAnsi="Times New Roman" w:cs="Times New Roman"/>
                <w:b/>
                <w:sz w:val="24"/>
                <w:szCs w:val="24"/>
              </w:rPr>
            </w:pPr>
            <w:r w:rsidRPr="00993DF3">
              <w:rPr>
                <w:rFonts w:ascii="Times New Roman" w:hAnsi="Times New Roman" w:cs="Times New Roman"/>
                <w:b/>
                <w:sz w:val="24"/>
                <w:szCs w:val="24"/>
              </w:rPr>
              <w:t xml:space="preserve">      Vrouwen naar categorie</w:t>
            </w:r>
          </w:p>
        </w:tc>
        <w:tc>
          <w:tcPr>
            <w:tcW w:w="21" w:type="dxa"/>
            <w:tcBorders>
              <w:left w:val="single" w:sz="1" w:space="0" w:color="000000"/>
            </w:tcBorders>
            <w:shd w:val="clear" w:color="auto" w:fill="auto"/>
          </w:tcPr>
          <w:p w14:paraId="574D3095" w14:textId="77777777" w:rsidR="005353F2" w:rsidRPr="00993DF3" w:rsidRDefault="005353F2" w:rsidP="00863695">
            <w:pPr>
              <w:rPr>
                <w:rFonts w:ascii="Times New Roman" w:hAnsi="Times New Roman" w:cs="Times New Roman"/>
                <w:sz w:val="24"/>
                <w:szCs w:val="24"/>
              </w:rPr>
            </w:pPr>
          </w:p>
        </w:tc>
      </w:tr>
      <w:tr w:rsidR="005353F2" w:rsidRPr="00993DF3" w14:paraId="1791DDA1" w14:textId="77777777" w:rsidTr="00993DF3">
        <w:tblPrEx>
          <w:tblCellMar>
            <w:top w:w="55" w:type="dxa"/>
            <w:left w:w="55" w:type="dxa"/>
            <w:bottom w:w="55" w:type="dxa"/>
            <w:right w:w="55" w:type="dxa"/>
          </w:tblCellMar>
        </w:tblPrEx>
        <w:trPr>
          <w:gridAfter w:val="1"/>
          <w:wAfter w:w="17" w:type="dxa"/>
          <w:trHeight w:hRule="exact" w:val="346"/>
        </w:trPr>
        <w:tc>
          <w:tcPr>
            <w:tcW w:w="1137" w:type="dxa"/>
            <w:tcBorders>
              <w:bottom w:val="single" w:sz="1" w:space="0" w:color="000000"/>
            </w:tcBorders>
            <w:shd w:val="clear" w:color="auto" w:fill="FFFFFF"/>
          </w:tcPr>
          <w:p w14:paraId="08363ED2" w14:textId="77777777" w:rsidR="005353F2" w:rsidRPr="00993DF3" w:rsidRDefault="005353F2">
            <w:pPr>
              <w:snapToGrid w:val="0"/>
              <w:rPr>
                <w:rFonts w:ascii="Times New Roman" w:hAnsi="Times New Roman" w:cs="Times New Roman"/>
                <w:b/>
                <w:bCs/>
                <w:sz w:val="24"/>
                <w:szCs w:val="24"/>
              </w:rPr>
            </w:pPr>
          </w:p>
        </w:tc>
        <w:tc>
          <w:tcPr>
            <w:tcW w:w="792" w:type="dxa"/>
            <w:tcBorders>
              <w:left w:val="single" w:sz="1" w:space="0" w:color="000000"/>
            </w:tcBorders>
            <w:shd w:val="clear" w:color="auto" w:fill="FFFFFF"/>
          </w:tcPr>
          <w:p w14:paraId="2414B391" w14:textId="77777777" w:rsidR="005353F2" w:rsidRPr="00993DF3" w:rsidRDefault="0070750B">
            <w:pPr>
              <w:jc w:val="center"/>
              <w:rPr>
                <w:rFonts w:ascii="Times New Roman" w:hAnsi="Times New Roman" w:cs="Times New Roman"/>
                <w:b/>
                <w:bCs/>
                <w:sz w:val="24"/>
                <w:szCs w:val="24"/>
              </w:rPr>
            </w:pPr>
            <w:r w:rsidRPr="00993DF3">
              <w:rPr>
                <w:rFonts w:ascii="Times New Roman" w:hAnsi="Times New Roman" w:cs="Times New Roman"/>
                <w:b/>
                <w:bCs/>
                <w:sz w:val="24"/>
                <w:szCs w:val="24"/>
              </w:rPr>
              <w:t>1</w:t>
            </w:r>
          </w:p>
        </w:tc>
        <w:tc>
          <w:tcPr>
            <w:tcW w:w="526" w:type="dxa"/>
            <w:shd w:val="clear" w:color="auto" w:fill="FFFFFF"/>
          </w:tcPr>
          <w:p w14:paraId="49397AC5" w14:textId="77777777" w:rsidR="005353F2" w:rsidRPr="00993DF3" w:rsidRDefault="0070750B">
            <w:pPr>
              <w:jc w:val="center"/>
              <w:rPr>
                <w:rFonts w:ascii="Times New Roman" w:hAnsi="Times New Roman" w:cs="Times New Roman"/>
                <w:b/>
                <w:bCs/>
                <w:sz w:val="24"/>
                <w:szCs w:val="24"/>
              </w:rPr>
            </w:pPr>
            <w:r w:rsidRPr="00993DF3">
              <w:rPr>
                <w:rFonts w:ascii="Times New Roman" w:hAnsi="Times New Roman" w:cs="Times New Roman"/>
                <w:b/>
                <w:bCs/>
                <w:sz w:val="24"/>
                <w:szCs w:val="24"/>
              </w:rPr>
              <w:t>2</w:t>
            </w:r>
          </w:p>
        </w:tc>
        <w:tc>
          <w:tcPr>
            <w:tcW w:w="757" w:type="dxa"/>
            <w:shd w:val="clear" w:color="auto" w:fill="FFFFFF"/>
          </w:tcPr>
          <w:p w14:paraId="3D27C124" w14:textId="77777777" w:rsidR="005353F2" w:rsidRPr="00993DF3" w:rsidRDefault="0070750B">
            <w:pPr>
              <w:jc w:val="center"/>
              <w:rPr>
                <w:rFonts w:ascii="Times New Roman" w:hAnsi="Times New Roman" w:cs="Times New Roman"/>
                <w:b/>
                <w:bCs/>
                <w:sz w:val="24"/>
                <w:szCs w:val="24"/>
              </w:rPr>
            </w:pPr>
            <w:r w:rsidRPr="00993DF3">
              <w:rPr>
                <w:rFonts w:ascii="Times New Roman" w:hAnsi="Times New Roman" w:cs="Times New Roman"/>
                <w:b/>
                <w:bCs/>
                <w:sz w:val="24"/>
                <w:szCs w:val="24"/>
              </w:rPr>
              <w:t>3</w:t>
            </w:r>
          </w:p>
        </w:tc>
        <w:tc>
          <w:tcPr>
            <w:tcW w:w="747" w:type="dxa"/>
            <w:shd w:val="clear" w:color="auto" w:fill="FFFFFF"/>
          </w:tcPr>
          <w:p w14:paraId="3929594C" w14:textId="77777777" w:rsidR="005353F2" w:rsidRPr="00993DF3" w:rsidRDefault="0070750B">
            <w:pPr>
              <w:jc w:val="center"/>
              <w:rPr>
                <w:rFonts w:ascii="Times New Roman" w:hAnsi="Times New Roman" w:cs="Times New Roman"/>
                <w:b/>
                <w:bCs/>
                <w:sz w:val="24"/>
                <w:szCs w:val="24"/>
              </w:rPr>
            </w:pPr>
            <w:r w:rsidRPr="00993DF3">
              <w:rPr>
                <w:rFonts w:ascii="Times New Roman" w:hAnsi="Times New Roman" w:cs="Times New Roman"/>
                <w:b/>
                <w:bCs/>
                <w:sz w:val="24"/>
                <w:szCs w:val="24"/>
              </w:rPr>
              <w:t>4</w:t>
            </w:r>
          </w:p>
        </w:tc>
        <w:tc>
          <w:tcPr>
            <w:tcW w:w="757" w:type="dxa"/>
            <w:gridSpan w:val="2"/>
            <w:shd w:val="clear" w:color="auto" w:fill="FFFFFF"/>
          </w:tcPr>
          <w:p w14:paraId="02537C93" w14:textId="77777777" w:rsidR="005353F2" w:rsidRPr="00993DF3" w:rsidRDefault="0070750B">
            <w:pPr>
              <w:jc w:val="center"/>
              <w:rPr>
                <w:rFonts w:ascii="Times New Roman" w:hAnsi="Times New Roman" w:cs="Times New Roman"/>
                <w:b/>
                <w:bCs/>
                <w:sz w:val="24"/>
                <w:szCs w:val="24"/>
              </w:rPr>
            </w:pPr>
            <w:r w:rsidRPr="00993DF3">
              <w:rPr>
                <w:rFonts w:ascii="Times New Roman" w:hAnsi="Times New Roman" w:cs="Times New Roman"/>
                <w:b/>
                <w:bCs/>
                <w:sz w:val="24"/>
                <w:szCs w:val="24"/>
              </w:rPr>
              <w:t>Totaal</w:t>
            </w:r>
          </w:p>
        </w:tc>
        <w:tc>
          <w:tcPr>
            <w:tcW w:w="747" w:type="dxa"/>
            <w:tcBorders>
              <w:left w:val="single" w:sz="1" w:space="0" w:color="000000"/>
            </w:tcBorders>
            <w:shd w:val="clear" w:color="auto" w:fill="FFFFFF"/>
          </w:tcPr>
          <w:p w14:paraId="57DEBD36" w14:textId="77777777" w:rsidR="005353F2" w:rsidRPr="00993DF3" w:rsidRDefault="0070750B">
            <w:pPr>
              <w:jc w:val="center"/>
              <w:rPr>
                <w:rFonts w:ascii="Times New Roman" w:hAnsi="Times New Roman" w:cs="Times New Roman"/>
                <w:b/>
                <w:bCs/>
                <w:sz w:val="24"/>
                <w:szCs w:val="24"/>
              </w:rPr>
            </w:pPr>
            <w:r w:rsidRPr="00993DF3">
              <w:rPr>
                <w:rFonts w:ascii="Times New Roman" w:hAnsi="Times New Roman" w:cs="Times New Roman"/>
                <w:b/>
                <w:bCs/>
                <w:sz w:val="24"/>
                <w:szCs w:val="24"/>
              </w:rPr>
              <w:t>1</w:t>
            </w:r>
          </w:p>
        </w:tc>
        <w:tc>
          <w:tcPr>
            <w:tcW w:w="757" w:type="dxa"/>
            <w:shd w:val="clear" w:color="auto" w:fill="FFFFFF"/>
          </w:tcPr>
          <w:p w14:paraId="170DA819" w14:textId="77777777" w:rsidR="005353F2" w:rsidRPr="00993DF3" w:rsidRDefault="0070750B">
            <w:pPr>
              <w:jc w:val="center"/>
              <w:rPr>
                <w:rFonts w:ascii="Times New Roman" w:hAnsi="Times New Roman" w:cs="Times New Roman"/>
                <w:b/>
                <w:bCs/>
                <w:sz w:val="24"/>
                <w:szCs w:val="24"/>
              </w:rPr>
            </w:pPr>
            <w:r w:rsidRPr="00993DF3">
              <w:rPr>
                <w:rFonts w:ascii="Times New Roman" w:hAnsi="Times New Roman" w:cs="Times New Roman"/>
                <w:b/>
                <w:bCs/>
                <w:sz w:val="24"/>
                <w:szCs w:val="24"/>
              </w:rPr>
              <w:t>2</w:t>
            </w:r>
          </w:p>
        </w:tc>
        <w:tc>
          <w:tcPr>
            <w:tcW w:w="747" w:type="dxa"/>
            <w:shd w:val="clear" w:color="auto" w:fill="FFFFFF"/>
          </w:tcPr>
          <w:p w14:paraId="01F68BA5" w14:textId="77777777" w:rsidR="005353F2" w:rsidRPr="00993DF3" w:rsidRDefault="0070750B">
            <w:pPr>
              <w:jc w:val="center"/>
              <w:rPr>
                <w:rFonts w:ascii="Times New Roman" w:hAnsi="Times New Roman" w:cs="Times New Roman"/>
                <w:b/>
                <w:bCs/>
                <w:sz w:val="24"/>
                <w:szCs w:val="24"/>
              </w:rPr>
            </w:pPr>
            <w:r w:rsidRPr="00993DF3">
              <w:rPr>
                <w:rFonts w:ascii="Times New Roman" w:hAnsi="Times New Roman" w:cs="Times New Roman"/>
                <w:b/>
                <w:bCs/>
                <w:sz w:val="24"/>
                <w:szCs w:val="24"/>
              </w:rPr>
              <w:t>3</w:t>
            </w:r>
          </w:p>
        </w:tc>
        <w:tc>
          <w:tcPr>
            <w:tcW w:w="756" w:type="dxa"/>
            <w:shd w:val="clear" w:color="auto" w:fill="FFFFFF"/>
          </w:tcPr>
          <w:p w14:paraId="6A57F422" w14:textId="77777777" w:rsidR="005353F2" w:rsidRPr="00993DF3" w:rsidRDefault="0070750B">
            <w:pPr>
              <w:jc w:val="center"/>
              <w:rPr>
                <w:rFonts w:ascii="Times New Roman" w:hAnsi="Times New Roman" w:cs="Times New Roman"/>
                <w:b/>
                <w:bCs/>
                <w:sz w:val="24"/>
                <w:szCs w:val="24"/>
              </w:rPr>
            </w:pPr>
            <w:r w:rsidRPr="00993DF3">
              <w:rPr>
                <w:rFonts w:ascii="Times New Roman" w:hAnsi="Times New Roman" w:cs="Times New Roman"/>
                <w:b/>
                <w:bCs/>
                <w:sz w:val="24"/>
                <w:szCs w:val="24"/>
              </w:rPr>
              <w:t>4</w:t>
            </w:r>
          </w:p>
        </w:tc>
        <w:tc>
          <w:tcPr>
            <w:tcW w:w="746" w:type="dxa"/>
            <w:shd w:val="clear" w:color="auto" w:fill="FFFFFF"/>
          </w:tcPr>
          <w:p w14:paraId="4B3DA939" w14:textId="77777777" w:rsidR="005353F2" w:rsidRPr="00993DF3" w:rsidRDefault="0070750B">
            <w:pPr>
              <w:jc w:val="center"/>
              <w:rPr>
                <w:rFonts w:ascii="Times New Roman" w:hAnsi="Times New Roman" w:cs="Times New Roman"/>
                <w:b/>
                <w:bCs/>
                <w:sz w:val="24"/>
                <w:szCs w:val="24"/>
              </w:rPr>
            </w:pPr>
            <w:r w:rsidRPr="00993DF3">
              <w:rPr>
                <w:rFonts w:ascii="Times New Roman" w:hAnsi="Times New Roman" w:cs="Times New Roman"/>
                <w:b/>
                <w:bCs/>
                <w:sz w:val="24"/>
                <w:szCs w:val="24"/>
              </w:rPr>
              <w:t>Totaal</w:t>
            </w:r>
          </w:p>
        </w:tc>
      </w:tr>
      <w:tr w:rsidR="005353F2" w:rsidRPr="00993DF3" w14:paraId="681E92E0" w14:textId="77777777" w:rsidTr="00993DF3">
        <w:tblPrEx>
          <w:tblCellMar>
            <w:top w:w="55" w:type="dxa"/>
            <w:left w:w="55" w:type="dxa"/>
            <w:bottom w:w="55" w:type="dxa"/>
            <w:right w:w="55" w:type="dxa"/>
          </w:tblCellMar>
        </w:tblPrEx>
        <w:trPr>
          <w:gridAfter w:val="1"/>
          <w:wAfter w:w="17" w:type="dxa"/>
          <w:trHeight w:hRule="exact" w:val="346"/>
        </w:trPr>
        <w:tc>
          <w:tcPr>
            <w:tcW w:w="1137" w:type="dxa"/>
            <w:shd w:val="clear" w:color="auto" w:fill="FFFFFF"/>
          </w:tcPr>
          <w:p w14:paraId="51F02EDF" w14:textId="77777777" w:rsidR="005353F2" w:rsidRPr="00993DF3" w:rsidRDefault="0070750B">
            <w:pPr>
              <w:rPr>
                <w:rFonts w:ascii="Times New Roman" w:hAnsi="Times New Roman" w:cs="Times New Roman"/>
                <w:sz w:val="24"/>
                <w:szCs w:val="24"/>
              </w:rPr>
            </w:pPr>
            <w:r w:rsidRPr="00993DF3">
              <w:rPr>
                <w:rFonts w:ascii="Times New Roman" w:hAnsi="Times New Roman" w:cs="Times New Roman"/>
                <w:b/>
                <w:bCs/>
                <w:sz w:val="24"/>
                <w:szCs w:val="24"/>
              </w:rPr>
              <w:t>Slecht</w:t>
            </w:r>
          </w:p>
        </w:tc>
        <w:tc>
          <w:tcPr>
            <w:tcW w:w="792" w:type="dxa"/>
            <w:tcBorders>
              <w:left w:val="single" w:sz="1" w:space="0" w:color="000000"/>
            </w:tcBorders>
            <w:shd w:val="clear" w:color="auto" w:fill="FFFFFF"/>
          </w:tcPr>
          <w:p w14:paraId="0643027F" w14:textId="77777777" w:rsidR="005353F2" w:rsidRPr="00993DF3" w:rsidRDefault="0070750B">
            <w:pPr>
              <w:jc w:val="center"/>
              <w:rPr>
                <w:rFonts w:ascii="Times New Roman" w:hAnsi="Times New Roman" w:cs="Times New Roman"/>
                <w:sz w:val="24"/>
                <w:szCs w:val="24"/>
              </w:rPr>
            </w:pPr>
            <w:r w:rsidRPr="00993DF3">
              <w:rPr>
                <w:rFonts w:ascii="Times New Roman" w:hAnsi="Times New Roman" w:cs="Times New Roman"/>
                <w:sz w:val="24"/>
                <w:szCs w:val="24"/>
              </w:rPr>
              <w:t>70</w:t>
            </w:r>
          </w:p>
        </w:tc>
        <w:tc>
          <w:tcPr>
            <w:tcW w:w="526" w:type="dxa"/>
            <w:shd w:val="clear" w:color="auto" w:fill="FFFFFF"/>
          </w:tcPr>
          <w:p w14:paraId="53C381AD" w14:textId="77777777" w:rsidR="005353F2" w:rsidRPr="00993DF3" w:rsidRDefault="0070750B">
            <w:pPr>
              <w:jc w:val="center"/>
              <w:rPr>
                <w:rFonts w:ascii="Times New Roman" w:hAnsi="Times New Roman" w:cs="Times New Roman"/>
                <w:sz w:val="24"/>
                <w:szCs w:val="24"/>
              </w:rPr>
            </w:pPr>
            <w:r w:rsidRPr="00993DF3">
              <w:rPr>
                <w:rFonts w:ascii="Times New Roman" w:hAnsi="Times New Roman" w:cs="Times New Roman"/>
                <w:sz w:val="24"/>
                <w:szCs w:val="24"/>
              </w:rPr>
              <w:t>60</w:t>
            </w:r>
          </w:p>
        </w:tc>
        <w:tc>
          <w:tcPr>
            <w:tcW w:w="757" w:type="dxa"/>
            <w:shd w:val="clear" w:color="auto" w:fill="FFFFFF"/>
          </w:tcPr>
          <w:p w14:paraId="0E52A4E4" w14:textId="77777777" w:rsidR="005353F2" w:rsidRPr="00993DF3" w:rsidRDefault="0070750B">
            <w:pPr>
              <w:jc w:val="center"/>
              <w:rPr>
                <w:rFonts w:ascii="Times New Roman" w:hAnsi="Times New Roman" w:cs="Times New Roman"/>
                <w:sz w:val="24"/>
                <w:szCs w:val="24"/>
              </w:rPr>
            </w:pPr>
            <w:r w:rsidRPr="00993DF3">
              <w:rPr>
                <w:rFonts w:ascii="Times New Roman" w:hAnsi="Times New Roman" w:cs="Times New Roman"/>
                <w:sz w:val="24"/>
                <w:szCs w:val="24"/>
              </w:rPr>
              <w:t>52</w:t>
            </w:r>
          </w:p>
        </w:tc>
        <w:tc>
          <w:tcPr>
            <w:tcW w:w="747" w:type="dxa"/>
            <w:shd w:val="clear" w:color="auto" w:fill="FFFFFF"/>
          </w:tcPr>
          <w:p w14:paraId="138C668B" w14:textId="77777777" w:rsidR="005353F2" w:rsidRPr="00993DF3" w:rsidRDefault="0070750B">
            <w:pPr>
              <w:jc w:val="center"/>
              <w:rPr>
                <w:rFonts w:ascii="Times New Roman" w:hAnsi="Times New Roman" w:cs="Times New Roman"/>
                <w:sz w:val="24"/>
                <w:szCs w:val="24"/>
              </w:rPr>
            </w:pPr>
            <w:r w:rsidRPr="00993DF3">
              <w:rPr>
                <w:rFonts w:ascii="Times New Roman" w:hAnsi="Times New Roman" w:cs="Times New Roman"/>
                <w:sz w:val="24"/>
                <w:szCs w:val="24"/>
              </w:rPr>
              <w:t>36</w:t>
            </w:r>
          </w:p>
        </w:tc>
        <w:tc>
          <w:tcPr>
            <w:tcW w:w="757" w:type="dxa"/>
            <w:gridSpan w:val="2"/>
            <w:shd w:val="clear" w:color="auto" w:fill="FFFFFF"/>
          </w:tcPr>
          <w:p w14:paraId="0C46A051" w14:textId="77777777" w:rsidR="005353F2" w:rsidRPr="00993DF3" w:rsidRDefault="0070750B">
            <w:pPr>
              <w:jc w:val="center"/>
              <w:rPr>
                <w:rFonts w:ascii="Times New Roman" w:hAnsi="Times New Roman" w:cs="Times New Roman"/>
                <w:sz w:val="24"/>
                <w:szCs w:val="24"/>
              </w:rPr>
            </w:pPr>
            <w:r w:rsidRPr="00993DF3">
              <w:rPr>
                <w:rFonts w:ascii="Times New Roman" w:hAnsi="Times New Roman" w:cs="Times New Roman"/>
                <w:sz w:val="24"/>
                <w:szCs w:val="24"/>
              </w:rPr>
              <w:t>58</w:t>
            </w:r>
          </w:p>
        </w:tc>
        <w:tc>
          <w:tcPr>
            <w:tcW w:w="747" w:type="dxa"/>
            <w:tcBorders>
              <w:left w:val="single" w:sz="1" w:space="0" w:color="000000"/>
            </w:tcBorders>
            <w:shd w:val="clear" w:color="auto" w:fill="FFFFFF"/>
          </w:tcPr>
          <w:p w14:paraId="0C80F149" w14:textId="77777777" w:rsidR="005353F2" w:rsidRPr="00993DF3" w:rsidRDefault="0070750B">
            <w:pPr>
              <w:jc w:val="center"/>
              <w:rPr>
                <w:rFonts w:ascii="Times New Roman" w:hAnsi="Times New Roman" w:cs="Times New Roman"/>
                <w:sz w:val="24"/>
                <w:szCs w:val="24"/>
              </w:rPr>
            </w:pPr>
            <w:r w:rsidRPr="00993DF3">
              <w:rPr>
                <w:rFonts w:ascii="Times New Roman" w:hAnsi="Times New Roman" w:cs="Times New Roman"/>
                <w:sz w:val="24"/>
                <w:szCs w:val="24"/>
              </w:rPr>
              <w:t>54</w:t>
            </w:r>
          </w:p>
        </w:tc>
        <w:tc>
          <w:tcPr>
            <w:tcW w:w="757" w:type="dxa"/>
            <w:shd w:val="clear" w:color="auto" w:fill="FFFFFF"/>
          </w:tcPr>
          <w:p w14:paraId="49B5374A" w14:textId="77777777" w:rsidR="005353F2" w:rsidRPr="00993DF3" w:rsidRDefault="0070750B">
            <w:pPr>
              <w:jc w:val="center"/>
              <w:rPr>
                <w:rFonts w:ascii="Times New Roman" w:hAnsi="Times New Roman" w:cs="Times New Roman"/>
                <w:sz w:val="24"/>
                <w:szCs w:val="24"/>
              </w:rPr>
            </w:pPr>
            <w:r w:rsidRPr="00993DF3">
              <w:rPr>
                <w:rFonts w:ascii="Times New Roman" w:hAnsi="Times New Roman" w:cs="Times New Roman"/>
                <w:sz w:val="24"/>
                <w:szCs w:val="24"/>
              </w:rPr>
              <w:t>45</w:t>
            </w:r>
          </w:p>
        </w:tc>
        <w:tc>
          <w:tcPr>
            <w:tcW w:w="747" w:type="dxa"/>
            <w:shd w:val="clear" w:color="auto" w:fill="FFFFFF"/>
          </w:tcPr>
          <w:p w14:paraId="4816ED72" w14:textId="77777777" w:rsidR="005353F2" w:rsidRPr="00993DF3" w:rsidRDefault="0070750B">
            <w:pPr>
              <w:jc w:val="center"/>
              <w:rPr>
                <w:rFonts w:ascii="Times New Roman" w:hAnsi="Times New Roman" w:cs="Times New Roman"/>
                <w:sz w:val="24"/>
                <w:szCs w:val="24"/>
              </w:rPr>
            </w:pPr>
            <w:r w:rsidRPr="00993DF3">
              <w:rPr>
                <w:rFonts w:ascii="Times New Roman" w:hAnsi="Times New Roman" w:cs="Times New Roman"/>
                <w:sz w:val="24"/>
                <w:szCs w:val="24"/>
              </w:rPr>
              <w:t>29</w:t>
            </w:r>
          </w:p>
        </w:tc>
        <w:tc>
          <w:tcPr>
            <w:tcW w:w="756" w:type="dxa"/>
            <w:shd w:val="clear" w:color="auto" w:fill="FFFFFF"/>
          </w:tcPr>
          <w:p w14:paraId="32A006E8" w14:textId="77777777" w:rsidR="005353F2" w:rsidRPr="00993DF3" w:rsidRDefault="0070750B">
            <w:pPr>
              <w:jc w:val="center"/>
              <w:rPr>
                <w:rFonts w:ascii="Times New Roman" w:hAnsi="Times New Roman" w:cs="Times New Roman"/>
                <w:sz w:val="24"/>
                <w:szCs w:val="24"/>
              </w:rPr>
            </w:pPr>
            <w:r w:rsidRPr="00993DF3">
              <w:rPr>
                <w:rFonts w:ascii="Times New Roman" w:hAnsi="Times New Roman" w:cs="Times New Roman"/>
                <w:sz w:val="24"/>
                <w:szCs w:val="24"/>
              </w:rPr>
              <w:t>37</w:t>
            </w:r>
          </w:p>
        </w:tc>
        <w:tc>
          <w:tcPr>
            <w:tcW w:w="746" w:type="dxa"/>
            <w:shd w:val="clear" w:color="auto" w:fill="FFFFFF"/>
          </w:tcPr>
          <w:p w14:paraId="4035B99D" w14:textId="77777777" w:rsidR="005353F2" w:rsidRPr="00993DF3" w:rsidRDefault="0070750B">
            <w:pPr>
              <w:jc w:val="center"/>
              <w:rPr>
                <w:rFonts w:ascii="Times New Roman" w:hAnsi="Times New Roman" w:cs="Times New Roman"/>
                <w:b/>
                <w:bCs/>
                <w:sz w:val="24"/>
                <w:szCs w:val="24"/>
              </w:rPr>
            </w:pPr>
            <w:r w:rsidRPr="00993DF3">
              <w:rPr>
                <w:rFonts w:ascii="Times New Roman" w:hAnsi="Times New Roman" w:cs="Times New Roman"/>
                <w:sz w:val="24"/>
                <w:szCs w:val="24"/>
              </w:rPr>
              <w:t>48</w:t>
            </w:r>
          </w:p>
        </w:tc>
      </w:tr>
      <w:tr w:rsidR="005353F2" w:rsidRPr="00993DF3" w14:paraId="0DCB2F61" w14:textId="77777777" w:rsidTr="00993DF3">
        <w:tblPrEx>
          <w:tblCellMar>
            <w:top w:w="55" w:type="dxa"/>
            <w:left w:w="55" w:type="dxa"/>
            <w:bottom w:w="55" w:type="dxa"/>
            <w:right w:w="55" w:type="dxa"/>
          </w:tblCellMar>
        </w:tblPrEx>
        <w:trPr>
          <w:gridAfter w:val="1"/>
          <w:wAfter w:w="17" w:type="dxa"/>
          <w:trHeight w:hRule="exact" w:val="346"/>
        </w:trPr>
        <w:tc>
          <w:tcPr>
            <w:tcW w:w="1137" w:type="dxa"/>
            <w:shd w:val="clear" w:color="auto" w:fill="FFFFFF"/>
          </w:tcPr>
          <w:p w14:paraId="77F58937" w14:textId="77777777" w:rsidR="005353F2" w:rsidRPr="00993DF3" w:rsidRDefault="0070750B">
            <w:pPr>
              <w:rPr>
                <w:rFonts w:ascii="Times New Roman" w:hAnsi="Times New Roman" w:cs="Times New Roman"/>
                <w:sz w:val="24"/>
                <w:szCs w:val="24"/>
              </w:rPr>
            </w:pPr>
            <w:r w:rsidRPr="00993DF3">
              <w:rPr>
                <w:rFonts w:ascii="Times New Roman" w:hAnsi="Times New Roman" w:cs="Times New Roman"/>
                <w:b/>
                <w:bCs/>
                <w:sz w:val="24"/>
                <w:szCs w:val="24"/>
              </w:rPr>
              <w:t>Neutraal</w:t>
            </w:r>
          </w:p>
        </w:tc>
        <w:tc>
          <w:tcPr>
            <w:tcW w:w="792" w:type="dxa"/>
            <w:tcBorders>
              <w:left w:val="single" w:sz="1" w:space="0" w:color="000000"/>
            </w:tcBorders>
            <w:shd w:val="clear" w:color="auto" w:fill="FFFFFF"/>
          </w:tcPr>
          <w:p w14:paraId="219E0E20" w14:textId="77777777" w:rsidR="005353F2" w:rsidRPr="00993DF3" w:rsidRDefault="0070750B">
            <w:pPr>
              <w:jc w:val="center"/>
              <w:rPr>
                <w:rFonts w:ascii="Times New Roman" w:hAnsi="Times New Roman" w:cs="Times New Roman"/>
                <w:sz w:val="24"/>
                <w:szCs w:val="24"/>
              </w:rPr>
            </w:pPr>
            <w:r w:rsidRPr="00993DF3">
              <w:rPr>
                <w:rFonts w:ascii="Times New Roman" w:hAnsi="Times New Roman" w:cs="Times New Roman"/>
                <w:sz w:val="24"/>
                <w:szCs w:val="24"/>
              </w:rPr>
              <w:t>25</w:t>
            </w:r>
          </w:p>
        </w:tc>
        <w:tc>
          <w:tcPr>
            <w:tcW w:w="526" w:type="dxa"/>
            <w:shd w:val="clear" w:color="auto" w:fill="FFFFFF"/>
          </w:tcPr>
          <w:p w14:paraId="4790A0F0" w14:textId="77777777" w:rsidR="005353F2" w:rsidRPr="00993DF3" w:rsidRDefault="0070750B">
            <w:pPr>
              <w:jc w:val="center"/>
              <w:rPr>
                <w:rFonts w:ascii="Times New Roman" w:hAnsi="Times New Roman" w:cs="Times New Roman"/>
                <w:sz w:val="24"/>
                <w:szCs w:val="24"/>
              </w:rPr>
            </w:pPr>
            <w:r w:rsidRPr="00993DF3">
              <w:rPr>
                <w:rFonts w:ascii="Times New Roman" w:hAnsi="Times New Roman" w:cs="Times New Roman"/>
                <w:sz w:val="24"/>
                <w:szCs w:val="24"/>
              </w:rPr>
              <w:t>31</w:t>
            </w:r>
          </w:p>
        </w:tc>
        <w:tc>
          <w:tcPr>
            <w:tcW w:w="757" w:type="dxa"/>
            <w:shd w:val="clear" w:color="auto" w:fill="FFFFFF"/>
          </w:tcPr>
          <w:p w14:paraId="127B03B0" w14:textId="77777777" w:rsidR="005353F2" w:rsidRPr="00993DF3" w:rsidRDefault="0070750B">
            <w:pPr>
              <w:jc w:val="center"/>
              <w:rPr>
                <w:rFonts w:ascii="Times New Roman" w:hAnsi="Times New Roman" w:cs="Times New Roman"/>
                <w:sz w:val="24"/>
                <w:szCs w:val="24"/>
              </w:rPr>
            </w:pPr>
            <w:r w:rsidRPr="00993DF3">
              <w:rPr>
                <w:rFonts w:ascii="Times New Roman" w:hAnsi="Times New Roman" w:cs="Times New Roman"/>
                <w:sz w:val="24"/>
                <w:szCs w:val="24"/>
              </w:rPr>
              <w:t>31</w:t>
            </w:r>
          </w:p>
        </w:tc>
        <w:tc>
          <w:tcPr>
            <w:tcW w:w="747" w:type="dxa"/>
            <w:shd w:val="clear" w:color="auto" w:fill="FFFFFF"/>
          </w:tcPr>
          <w:p w14:paraId="14492B04" w14:textId="77777777" w:rsidR="005353F2" w:rsidRPr="00993DF3" w:rsidRDefault="0070750B">
            <w:pPr>
              <w:jc w:val="center"/>
              <w:rPr>
                <w:rFonts w:ascii="Times New Roman" w:hAnsi="Times New Roman" w:cs="Times New Roman"/>
                <w:sz w:val="24"/>
                <w:szCs w:val="24"/>
              </w:rPr>
            </w:pPr>
            <w:r w:rsidRPr="00993DF3">
              <w:rPr>
                <w:rFonts w:ascii="Times New Roman" w:hAnsi="Times New Roman" w:cs="Times New Roman"/>
                <w:sz w:val="24"/>
                <w:szCs w:val="24"/>
              </w:rPr>
              <w:t>33</w:t>
            </w:r>
          </w:p>
        </w:tc>
        <w:tc>
          <w:tcPr>
            <w:tcW w:w="757" w:type="dxa"/>
            <w:gridSpan w:val="2"/>
            <w:shd w:val="clear" w:color="auto" w:fill="FFFFFF"/>
          </w:tcPr>
          <w:p w14:paraId="5603F525" w14:textId="77777777" w:rsidR="005353F2" w:rsidRPr="00993DF3" w:rsidRDefault="0070750B">
            <w:pPr>
              <w:jc w:val="center"/>
              <w:rPr>
                <w:rFonts w:ascii="Times New Roman" w:hAnsi="Times New Roman" w:cs="Times New Roman"/>
                <w:sz w:val="24"/>
                <w:szCs w:val="24"/>
              </w:rPr>
            </w:pPr>
            <w:r w:rsidRPr="00993DF3">
              <w:rPr>
                <w:rFonts w:ascii="Times New Roman" w:hAnsi="Times New Roman" w:cs="Times New Roman"/>
                <w:sz w:val="24"/>
                <w:szCs w:val="24"/>
              </w:rPr>
              <w:t>29</w:t>
            </w:r>
          </w:p>
        </w:tc>
        <w:tc>
          <w:tcPr>
            <w:tcW w:w="747" w:type="dxa"/>
            <w:tcBorders>
              <w:left w:val="single" w:sz="1" w:space="0" w:color="000000"/>
            </w:tcBorders>
            <w:shd w:val="clear" w:color="auto" w:fill="FFFFFF"/>
          </w:tcPr>
          <w:p w14:paraId="70E06B39" w14:textId="77777777" w:rsidR="005353F2" w:rsidRPr="00993DF3" w:rsidRDefault="0070750B">
            <w:pPr>
              <w:jc w:val="center"/>
              <w:rPr>
                <w:rFonts w:ascii="Times New Roman" w:hAnsi="Times New Roman" w:cs="Times New Roman"/>
                <w:sz w:val="24"/>
                <w:szCs w:val="24"/>
              </w:rPr>
            </w:pPr>
            <w:r w:rsidRPr="00993DF3">
              <w:rPr>
                <w:rFonts w:ascii="Times New Roman" w:hAnsi="Times New Roman" w:cs="Times New Roman"/>
                <w:sz w:val="24"/>
                <w:szCs w:val="24"/>
              </w:rPr>
              <w:t>38</w:t>
            </w:r>
          </w:p>
        </w:tc>
        <w:tc>
          <w:tcPr>
            <w:tcW w:w="757" w:type="dxa"/>
            <w:shd w:val="clear" w:color="auto" w:fill="FFFFFF"/>
          </w:tcPr>
          <w:p w14:paraId="6C7E614A" w14:textId="77777777" w:rsidR="005353F2" w:rsidRPr="00993DF3" w:rsidRDefault="0070750B">
            <w:pPr>
              <w:jc w:val="center"/>
              <w:rPr>
                <w:rFonts w:ascii="Times New Roman" w:hAnsi="Times New Roman" w:cs="Times New Roman"/>
                <w:sz w:val="24"/>
                <w:szCs w:val="24"/>
              </w:rPr>
            </w:pPr>
            <w:r w:rsidRPr="00993DF3">
              <w:rPr>
                <w:rFonts w:ascii="Times New Roman" w:hAnsi="Times New Roman" w:cs="Times New Roman"/>
                <w:sz w:val="24"/>
                <w:szCs w:val="24"/>
              </w:rPr>
              <w:t>41</w:t>
            </w:r>
          </w:p>
        </w:tc>
        <w:tc>
          <w:tcPr>
            <w:tcW w:w="747" w:type="dxa"/>
            <w:shd w:val="clear" w:color="auto" w:fill="FFFFFF"/>
          </w:tcPr>
          <w:p w14:paraId="47675030" w14:textId="77777777" w:rsidR="005353F2" w:rsidRPr="00993DF3" w:rsidRDefault="0070750B">
            <w:pPr>
              <w:jc w:val="center"/>
              <w:rPr>
                <w:rFonts w:ascii="Times New Roman" w:hAnsi="Times New Roman" w:cs="Times New Roman"/>
                <w:sz w:val="24"/>
                <w:szCs w:val="24"/>
              </w:rPr>
            </w:pPr>
            <w:r w:rsidRPr="00993DF3">
              <w:rPr>
                <w:rFonts w:ascii="Times New Roman" w:hAnsi="Times New Roman" w:cs="Times New Roman"/>
                <w:sz w:val="24"/>
                <w:szCs w:val="24"/>
              </w:rPr>
              <w:t>50</w:t>
            </w:r>
          </w:p>
        </w:tc>
        <w:tc>
          <w:tcPr>
            <w:tcW w:w="756" w:type="dxa"/>
            <w:shd w:val="clear" w:color="auto" w:fill="FFFFFF"/>
          </w:tcPr>
          <w:p w14:paraId="617C2876" w14:textId="77777777" w:rsidR="005353F2" w:rsidRPr="00993DF3" w:rsidRDefault="0070750B">
            <w:pPr>
              <w:jc w:val="center"/>
              <w:rPr>
                <w:rFonts w:ascii="Times New Roman" w:hAnsi="Times New Roman" w:cs="Times New Roman"/>
                <w:sz w:val="24"/>
                <w:szCs w:val="24"/>
              </w:rPr>
            </w:pPr>
            <w:r w:rsidRPr="00993DF3">
              <w:rPr>
                <w:rFonts w:ascii="Times New Roman" w:hAnsi="Times New Roman" w:cs="Times New Roman"/>
                <w:sz w:val="24"/>
                <w:szCs w:val="24"/>
              </w:rPr>
              <w:t>39</w:t>
            </w:r>
          </w:p>
        </w:tc>
        <w:tc>
          <w:tcPr>
            <w:tcW w:w="746" w:type="dxa"/>
            <w:shd w:val="clear" w:color="auto" w:fill="FFFFFF"/>
          </w:tcPr>
          <w:p w14:paraId="73292DB3" w14:textId="77777777" w:rsidR="005353F2" w:rsidRPr="00993DF3" w:rsidRDefault="0070750B">
            <w:pPr>
              <w:jc w:val="center"/>
              <w:rPr>
                <w:rFonts w:ascii="Times New Roman" w:hAnsi="Times New Roman" w:cs="Times New Roman"/>
                <w:b/>
                <w:bCs/>
                <w:sz w:val="24"/>
                <w:szCs w:val="24"/>
              </w:rPr>
            </w:pPr>
            <w:r w:rsidRPr="00993DF3">
              <w:rPr>
                <w:rFonts w:ascii="Times New Roman" w:hAnsi="Times New Roman" w:cs="Times New Roman"/>
                <w:sz w:val="24"/>
                <w:szCs w:val="24"/>
              </w:rPr>
              <w:t>40</w:t>
            </w:r>
          </w:p>
        </w:tc>
      </w:tr>
      <w:tr w:rsidR="005353F2" w:rsidRPr="00993DF3" w14:paraId="6703F7B1" w14:textId="77777777" w:rsidTr="00993DF3">
        <w:tblPrEx>
          <w:tblCellMar>
            <w:top w:w="55" w:type="dxa"/>
            <w:left w:w="55" w:type="dxa"/>
            <w:bottom w:w="55" w:type="dxa"/>
            <w:right w:w="55" w:type="dxa"/>
          </w:tblCellMar>
        </w:tblPrEx>
        <w:trPr>
          <w:gridAfter w:val="1"/>
          <w:wAfter w:w="17" w:type="dxa"/>
          <w:trHeight w:hRule="exact" w:val="346"/>
        </w:trPr>
        <w:tc>
          <w:tcPr>
            <w:tcW w:w="1137" w:type="dxa"/>
            <w:shd w:val="clear" w:color="auto" w:fill="FFFFFF"/>
          </w:tcPr>
          <w:p w14:paraId="46E55FC0" w14:textId="77777777" w:rsidR="005353F2" w:rsidRPr="00993DF3" w:rsidRDefault="0070750B">
            <w:pPr>
              <w:rPr>
                <w:rFonts w:ascii="Times New Roman" w:hAnsi="Times New Roman" w:cs="Times New Roman"/>
                <w:sz w:val="24"/>
                <w:szCs w:val="24"/>
                <w:u w:val="single"/>
              </w:rPr>
            </w:pPr>
            <w:r w:rsidRPr="00993DF3">
              <w:rPr>
                <w:rFonts w:ascii="Times New Roman" w:hAnsi="Times New Roman" w:cs="Times New Roman"/>
                <w:b/>
                <w:bCs/>
                <w:sz w:val="24"/>
                <w:szCs w:val="24"/>
              </w:rPr>
              <w:t>Goed</w:t>
            </w:r>
          </w:p>
        </w:tc>
        <w:tc>
          <w:tcPr>
            <w:tcW w:w="792" w:type="dxa"/>
            <w:tcBorders>
              <w:left w:val="single" w:sz="1" w:space="0" w:color="000000"/>
            </w:tcBorders>
            <w:shd w:val="clear" w:color="auto" w:fill="FFFFFF"/>
          </w:tcPr>
          <w:p w14:paraId="68971579" w14:textId="77777777" w:rsidR="005353F2" w:rsidRPr="00993DF3" w:rsidRDefault="0070750B">
            <w:pPr>
              <w:jc w:val="center"/>
              <w:rPr>
                <w:rFonts w:ascii="Times New Roman" w:hAnsi="Times New Roman" w:cs="Times New Roman"/>
                <w:sz w:val="24"/>
                <w:szCs w:val="24"/>
                <w:u w:val="single"/>
              </w:rPr>
            </w:pPr>
            <w:r w:rsidRPr="00993DF3">
              <w:rPr>
                <w:rFonts w:ascii="Times New Roman" w:hAnsi="Times New Roman" w:cs="Times New Roman"/>
                <w:sz w:val="24"/>
                <w:szCs w:val="24"/>
                <w:u w:val="single"/>
              </w:rPr>
              <w:t>5</w:t>
            </w:r>
          </w:p>
        </w:tc>
        <w:tc>
          <w:tcPr>
            <w:tcW w:w="526" w:type="dxa"/>
            <w:shd w:val="clear" w:color="auto" w:fill="FFFFFF"/>
          </w:tcPr>
          <w:p w14:paraId="071FC32A" w14:textId="77777777" w:rsidR="005353F2" w:rsidRPr="00993DF3" w:rsidRDefault="0070750B">
            <w:pPr>
              <w:jc w:val="center"/>
              <w:rPr>
                <w:rFonts w:ascii="Times New Roman" w:hAnsi="Times New Roman" w:cs="Times New Roman"/>
                <w:sz w:val="24"/>
                <w:szCs w:val="24"/>
                <w:u w:val="single"/>
              </w:rPr>
            </w:pPr>
            <w:r w:rsidRPr="00993DF3">
              <w:rPr>
                <w:rFonts w:ascii="Times New Roman" w:hAnsi="Times New Roman" w:cs="Times New Roman"/>
                <w:sz w:val="24"/>
                <w:szCs w:val="24"/>
                <w:u w:val="single"/>
              </w:rPr>
              <w:t>9</w:t>
            </w:r>
          </w:p>
        </w:tc>
        <w:tc>
          <w:tcPr>
            <w:tcW w:w="757" w:type="dxa"/>
            <w:shd w:val="clear" w:color="auto" w:fill="FFFFFF"/>
          </w:tcPr>
          <w:p w14:paraId="688ECD90" w14:textId="77777777" w:rsidR="005353F2" w:rsidRPr="00993DF3" w:rsidRDefault="0070750B">
            <w:pPr>
              <w:jc w:val="center"/>
              <w:rPr>
                <w:rFonts w:ascii="Times New Roman" w:hAnsi="Times New Roman" w:cs="Times New Roman"/>
                <w:sz w:val="24"/>
                <w:szCs w:val="24"/>
                <w:u w:val="single"/>
              </w:rPr>
            </w:pPr>
            <w:r w:rsidRPr="00993DF3">
              <w:rPr>
                <w:rFonts w:ascii="Times New Roman" w:hAnsi="Times New Roman" w:cs="Times New Roman"/>
                <w:sz w:val="24"/>
                <w:szCs w:val="24"/>
                <w:u w:val="single"/>
              </w:rPr>
              <w:t>17</w:t>
            </w:r>
          </w:p>
        </w:tc>
        <w:tc>
          <w:tcPr>
            <w:tcW w:w="747" w:type="dxa"/>
            <w:shd w:val="clear" w:color="auto" w:fill="FFFFFF"/>
          </w:tcPr>
          <w:p w14:paraId="49710D11" w14:textId="77777777" w:rsidR="005353F2" w:rsidRPr="00993DF3" w:rsidRDefault="0070750B">
            <w:pPr>
              <w:jc w:val="center"/>
              <w:rPr>
                <w:rFonts w:ascii="Times New Roman" w:hAnsi="Times New Roman" w:cs="Times New Roman"/>
                <w:sz w:val="24"/>
                <w:szCs w:val="24"/>
                <w:u w:val="single"/>
              </w:rPr>
            </w:pPr>
            <w:r w:rsidRPr="00993DF3">
              <w:rPr>
                <w:rFonts w:ascii="Times New Roman" w:hAnsi="Times New Roman" w:cs="Times New Roman"/>
                <w:sz w:val="24"/>
                <w:szCs w:val="24"/>
                <w:u w:val="single"/>
              </w:rPr>
              <w:t>31</w:t>
            </w:r>
          </w:p>
        </w:tc>
        <w:tc>
          <w:tcPr>
            <w:tcW w:w="757" w:type="dxa"/>
            <w:gridSpan w:val="2"/>
            <w:shd w:val="clear" w:color="auto" w:fill="FFFFFF"/>
          </w:tcPr>
          <w:p w14:paraId="110F1367" w14:textId="77777777" w:rsidR="005353F2" w:rsidRPr="00993DF3" w:rsidRDefault="0070750B">
            <w:pPr>
              <w:jc w:val="center"/>
              <w:rPr>
                <w:rFonts w:ascii="Times New Roman" w:hAnsi="Times New Roman" w:cs="Times New Roman"/>
                <w:sz w:val="24"/>
                <w:szCs w:val="24"/>
                <w:u w:val="single"/>
              </w:rPr>
            </w:pPr>
            <w:r w:rsidRPr="00993DF3">
              <w:rPr>
                <w:rFonts w:ascii="Times New Roman" w:hAnsi="Times New Roman" w:cs="Times New Roman"/>
                <w:sz w:val="24"/>
                <w:szCs w:val="24"/>
                <w:u w:val="single"/>
              </w:rPr>
              <w:t>13</w:t>
            </w:r>
          </w:p>
        </w:tc>
        <w:tc>
          <w:tcPr>
            <w:tcW w:w="747" w:type="dxa"/>
            <w:tcBorders>
              <w:left w:val="single" w:sz="1" w:space="0" w:color="000000"/>
            </w:tcBorders>
            <w:shd w:val="clear" w:color="auto" w:fill="FFFFFF"/>
          </w:tcPr>
          <w:p w14:paraId="0A68222D" w14:textId="77777777" w:rsidR="005353F2" w:rsidRPr="00993DF3" w:rsidRDefault="0070750B">
            <w:pPr>
              <w:jc w:val="center"/>
              <w:rPr>
                <w:rFonts w:ascii="Times New Roman" w:hAnsi="Times New Roman" w:cs="Times New Roman"/>
                <w:sz w:val="24"/>
                <w:szCs w:val="24"/>
                <w:u w:val="single"/>
              </w:rPr>
            </w:pPr>
            <w:r w:rsidRPr="00993DF3">
              <w:rPr>
                <w:rFonts w:ascii="Times New Roman" w:hAnsi="Times New Roman" w:cs="Times New Roman"/>
                <w:sz w:val="24"/>
                <w:szCs w:val="24"/>
                <w:u w:val="single"/>
              </w:rPr>
              <w:t>8</w:t>
            </w:r>
          </w:p>
        </w:tc>
        <w:tc>
          <w:tcPr>
            <w:tcW w:w="757" w:type="dxa"/>
            <w:shd w:val="clear" w:color="auto" w:fill="FFFFFF"/>
          </w:tcPr>
          <w:p w14:paraId="57F3BDF6" w14:textId="77777777" w:rsidR="005353F2" w:rsidRPr="00993DF3" w:rsidRDefault="0070750B">
            <w:pPr>
              <w:jc w:val="center"/>
              <w:rPr>
                <w:rFonts w:ascii="Times New Roman" w:hAnsi="Times New Roman" w:cs="Times New Roman"/>
                <w:sz w:val="24"/>
                <w:szCs w:val="24"/>
                <w:u w:val="single"/>
              </w:rPr>
            </w:pPr>
            <w:r w:rsidRPr="00993DF3">
              <w:rPr>
                <w:rFonts w:ascii="Times New Roman" w:hAnsi="Times New Roman" w:cs="Times New Roman"/>
                <w:sz w:val="24"/>
                <w:szCs w:val="24"/>
                <w:u w:val="single"/>
              </w:rPr>
              <w:t>14</w:t>
            </w:r>
          </w:p>
        </w:tc>
        <w:tc>
          <w:tcPr>
            <w:tcW w:w="747" w:type="dxa"/>
            <w:shd w:val="clear" w:color="auto" w:fill="FFFFFF"/>
          </w:tcPr>
          <w:p w14:paraId="3CCB6740" w14:textId="77777777" w:rsidR="005353F2" w:rsidRPr="00993DF3" w:rsidRDefault="0070750B">
            <w:pPr>
              <w:jc w:val="center"/>
              <w:rPr>
                <w:rFonts w:ascii="Times New Roman" w:hAnsi="Times New Roman" w:cs="Times New Roman"/>
                <w:sz w:val="24"/>
                <w:szCs w:val="24"/>
                <w:u w:val="single"/>
              </w:rPr>
            </w:pPr>
            <w:r w:rsidRPr="00993DF3">
              <w:rPr>
                <w:rFonts w:ascii="Times New Roman" w:hAnsi="Times New Roman" w:cs="Times New Roman"/>
                <w:sz w:val="24"/>
                <w:szCs w:val="24"/>
                <w:u w:val="single"/>
              </w:rPr>
              <w:t>21</w:t>
            </w:r>
          </w:p>
        </w:tc>
        <w:tc>
          <w:tcPr>
            <w:tcW w:w="756" w:type="dxa"/>
            <w:shd w:val="clear" w:color="auto" w:fill="FFFFFF"/>
          </w:tcPr>
          <w:p w14:paraId="6244D6C4" w14:textId="77777777" w:rsidR="005353F2" w:rsidRPr="00993DF3" w:rsidRDefault="0070750B">
            <w:pPr>
              <w:jc w:val="center"/>
              <w:rPr>
                <w:rFonts w:ascii="Times New Roman" w:hAnsi="Times New Roman" w:cs="Times New Roman"/>
                <w:sz w:val="24"/>
                <w:szCs w:val="24"/>
                <w:u w:val="single"/>
              </w:rPr>
            </w:pPr>
            <w:r w:rsidRPr="00993DF3">
              <w:rPr>
                <w:rFonts w:ascii="Times New Roman" w:hAnsi="Times New Roman" w:cs="Times New Roman"/>
                <w:sz w:val="24"/>
                <w:szCs w:val="24"/>
                <w:u w:val="single"/>
              </w:rPr>
              <w:t>24</w:t>
            </w:r>
          </w:p>
        </w:tc>
        <w:tc>
          <w:tcPr>
            <w:tcW w:w="746" w:type="dxa"/>
            <w:shd w:val="clear" w:color="auto" w:fill="FFFFFF"/>
          </w:tcPr>
          <w:p w14:paraId="05F01937" w14:textId="77777777" w:rsidR="005353F2" w:rsidRPr="00993DF3" w:rsidRDefault="0070750B">
            <w:pPr>
              <w:jc w:val="center"/>
              <w:rPr>
                <w:rFonts w:ascii="Times New Roman" w:hAnsi="Times New Roman" w:cs="Times New Roman"/>
                <w:b/>
                <w:bCs/>
                <w:sz w:val="24"/>
                <w:szCs w:val="24"/>
              </w:rPr>
            </w:pPr>
            <w:r w:rsidRPr="00993DF3">
              <w:rPr>
                <w:rFonts w:ascii="Times New Roman" w:hAnsi="Times New Roman" w:cs="Times New Roman"/>
                <w:sz w:val="24"/>
                <w:szCs w:val="24"/>
                <w:u w:val="single"/>
              </w:rPr>
              <w:t>12</w:t>
            </w:r>
          </w:p>
        </w:tc>
      </w:tr>
      <w:tr w:rsidR="005353F2" w:rsidRPr="00993DF3" w14:paraId="699CD66D" w14:textId="77777777" w:rsidTr="00993DF3">
        <w:tblPrEx>
          <w:tblCellMar>
            <w:top w:w="55" w:type="dxa"/>
            <w:left w:w="55" w:type="dxa"/>
            <w:bottom w:w="55" w:type="dxa"/>
            <w:right w:w="55" w:type="dxa"/>
          </w:tblCellMar>
        </w:tblPrEx>
        <w:trPr>
          <w:gridAfter w:val="1"/>
          <w:wAfter w:w="17" w:type="dxa"/>
          <w:trHeight w:hRule="exact" w:val="346"/>
        </w:trPr>
        <w:tc>
          <w:tcPr>
            <w:tcW w:w="1137" w:type="dxa"/>
            <w:tcBorders>
              <w:bottom w:val="single" w:sz="1" w:space="0" w:color="000000"/>
            </w:tcBorders>
            <w:shd w:val="clear" w:color="auto" w:fill="FFFFFF"/>
          </w:tcPr>
          <w:p w14:paraId="1E4241A8" w14:textId="77777777" w:rsidR="005353F2" w:rsidRPr="00993DF3" w:rsidRDefault="0070750B">
            <w:pPr>
              <w:rPr>
                <w:rFonts w:ascii="Times New Roman" w:hAnsi="Times New Roman" w:cs="Times New Roman"/>
                <w:sz w:val="24"/>
                <w:szCs w:val="24"/>
              </w:rPr>
            </w:pPr>
            <w:r w:rsidRPr="00993DF3">
              <w:rPr>
                <w:rFonts w:ascii="Times New Roman" w:hAnsi="Times New Roman" w:cs="Times New Roman"/>
                <w:b/>
                <w:bCs/>
                <w:sz w:val="24"/>
                <w:szCs w:val="24"/>
              </w:rPr>
              <w:t xml:space="preserve">Totaal </w:t>
            </w:r>
          </w:p>
        </w:tc>
        <w:tc>
          <w:tcPr>
            <w:tcW w:w="792" w:type="dxa"/>
            <w:tcBorders>
              <w:left w:val="single" w:sz="1" w:space="0" w:color="000000"/>
              <w:bottom w:val="single" w:sz="1" w:space="0" w:color="000000"/>
            </w:tcBorders>
            <w:shd w:val="clear" w:color="auto" w:fill="FFFFFF"/>
          </w:tcPr>
          <w:p w14:paraId="6EDD8346" w14:textId="77777777" w:rsidR="005353F2" w:rsidRPr="00993DF3" w:rsidRDefault="0070750B">
            <w:pPr>
              <w:jc w:val="center"/>
              <w:rPr>
                <w:rFonts w:ascii="Times New Roman" w:hAnsi="Times New Roman" w:cs="Times New Roman"/>
                <w:sz w:val="24"/>
                <w:szCs w:val="24"/>
              </w:rPr>
            </w:pPr>
            <w:r w:rsidRPr="00993DF3">
              <w:rPr>
                <w:rFonts w:ascii="Times New Roman" w:hAnsi="Times New Roman" w:cs="Times New Roman"/>
                <w:sz w:val="24"/>
                <w:szCs w:val="24"/>
              </w:rPr>
              <w:t>100</w:t>
            </w:r>
          </w:p>
        </w:tc>
        <w:tc>
          <w:tcPr>
            <w:tcW w:w="526" w:type="dxa"/>
            <w:tcBorders>
              <w:bottom w:val="single" w:sz="1" w:space="0" w:color="000000"/>
            </w:tcBorders>
            <w:shd w:val="clear" w:color="auto" w:fill="FFFFFF"/>
          </w:tcPr>
          <w:p w14:paraId="43020BF1" w14:textId="77777777" w:rsidR="005353F2" w:rsidRPr="00993DF3" w:rsidRDefault="0070750B">
            <w:pPr>
              <w:jc w:val="center"/>
              <w:rPr>
                <w:rFonts w:ascii="Times New Roman" w:hAnsi="Times New Roman" w:cs="Times New Roman"/>
                <w:sz w:val="24"/>
                <w:szCs w:val="24"/>
              </w:rPr>
            </w:pPr>
            <w:r w:rsidRPr="00993DF3">
              <w:rPr>
                <w:rFonts w:ascii="Times New Roman" w:hAnsi="Times New Roman" w:cs="Times New Roman"/>
                <w:sz w:val="24"/>
                <w:szCs w:val="24"/>
              </w:rPr>
              <w:t>100</w:t>
            </w:r>
          </w:p>
        </w:tc>
        <w:tc>
          <w:tcPr>
            <w:tcW w:w="757" w:type="dxa"/>
            <w:tcBorders>
              <w:bottom w:val="single" w:sz="1" w:space="0" w:color="000000"/>
            </w:tcBorders>
            <w:shd w:val="clear" w:color="auto" w:fill="FFFFFF"/>
          </w:tcPr>
          <w:p w14:paraId="4090EB9A" w14:textId="77777777" w:rsidR="005353F2" w:rsidRPr="00993DF3" w:rsidRDefault="0070750B">
            <w:pPr>
              <w:jc w:val="center"/>
              <w:rPr>
                <w:rFonts w:ascii="Times New Roman" w:hAnsi="Times New Roman" w:cs="Times New Roman"/>
                <w:sz w:val="24"/>
                <w:szCs w:val="24"/>
              </w:rPr>
            </w:pPr>
            <w:r w:rsidRPr="00993DF3">
              <w:rPr>
                <w:rFonts w:ascii="Times New Roman" w:hAnsi="Times New Roman" w:cs="Times New Roman"/>
                <w:sz w:val="24"/>
                <w:szCs w:val="24"/>
              </w:rPr>
              <w:t>100</w:t>
            </w:r>
          </w:p>
        </w:tc>
        <w:tc>
          <w:tcPr>
            <w:tcW w:w="747" w:type="dxa"/>
            <w:tcBorders>
              <w:bottom w:val="single" w:sz="1" w:space="0" w:color="000000"/>
            </w:tcBorders>
            <w:shd w:val="clear" w:color="auto" w:fill="FFFFFF"/>
          </w:tcPr>
          <w:p w14:paraId="12AB3EA0" w14:textId="77777777" w:rsidR="005353F2" w:rsidRPr="00993DF3" w:rsidRDefault="0070750B">
            <w:pPr>
              <w:jc w:val="center"/>
              <w:rPr>
                <w:rFonts w:ascii="Times New Roman" w:hAnsi="Times New Roman" w:cs="Times New Roman"/>
                <w:sz w:val="24"/>
                <w:szCs w:val="24"/>
              </w:rPr>
            </w:pPr>
            <w:r w:rsidRPr="00993DF3">
              <w:rPr>
                <w:rFonts w:ascii="Times New Roman" w:hAnsi="Times New Roman" w:cs="Times New Roman"/>
                <w:sz w:val="24"/>
                <w:szCs w:val="24"/>
              </w:rPr>
              <w:t>100</w:t>
            </w:r>
          </w:p>
        </w:tc>
        <w:tc>
          <w:tcPr>
            <w:tcW w:w="757" w:type="dxa"/>
            <w:gridSpan w:val="2"/>
            <w:tcBorders>
              <w:bottom w:val="single" w:sz="1" w:space="0" w:color="000000"/>
            </w:tcBorders>
            <w:shd w:val="clear" w:color="auto" w:fill="FFFFFF"/>
          </w:tcPr>
          <w:p w14:paraId="4E8E4522" w14:textId="77777777" w:rsidR="005353F2" w:rsidRPr="00993DF3" w:rsidRDefault="0070750B">
            <w:pPr>
              <w:jc w:val="center"/>
              <w:rPr>
                <w:rFonts w:ascii="Times New Roman" w:hAnsi="Times New Roman" w:cs="Times New Roman"/>
                <w:sz w:val="24"/>
                <w:szCs w:val="24"/>
              </w:rPr>
            </w:pPr>
            <w:r w:rsidRPr="00993DF3">
              <w:rPr>
                <w:rFonts w:ascii="Times New Roman" w:hAnsi="Times New Roman" w:cs="Times New Roman"/>
                <w:sz w:val="24"/>
                <w:szCs w:val="24"/>
              </w:rPr>
              <w:t>100</w:t>
            </w:r>
          </w:p>
        </w:tc>
        <w:tc>
          <w:tcPr>
            <w:tcW w:w="747" w:type="dxa"/>
            <w:tcBorders>
              <w:left w:val="single" w:sz="1" w:space="0" w:color="000000"/>
              <w:bottom w:val="single" w:sz="1" w:space="0" w:color="000000"/>
            </w:tcBorders>
            <w:shd w:val="clear" w:color="auto" w:fill="FFFFFF"/>
          </w:tcPr>
          <w:p w14:paraId="42FF0E5B" w14:textId="77777777" w:rsidR="005353F2" w:rsidRPr="00993DF3" w:rsidRDefault="0070750B">
            <w:pPr>
              <w:jc w:val="center"/>
              <w:rPr>
                <w:rFonts w:ascii="Times New Roman" w:hAnsi="Times New Roman" w:cs="Times New Roman"/>
                <w:sz w:val="24"/>
                <w:szCs w:val="24"/>
              </w:rPr>
            </w:pPr>
            <w:r w:rsidRPr="00993DF3">
              <w:rPr>
                <w:rFonts w:ascii="Times New Roman" w:hAnsi="Times New Roman" w:cs="Times New Roman"/>
                <w:sz w:val="24"/>
                <w:szCs w:val="24"/>
              </w:rPr>
              <w:t>100</w:t>
            </w:r>
          </w:p>
        </w:tc>
        <w:tc>
          <w:tcPr>
            <w:tcW w:w="757" w:type="dxa"/>
            <w:tcBorders>
              <w:bottom w:val="single" w:sz="1" w:space="0" w:color="000000"/>
            </w:tcBorders>
            <w:shd w:val="clear" w:color="auto" w:fill="FFFFFF"/>
          </w:tcPr>
          <w:p w14:paraId="4DD68D34" w14:textId="77777777" w:rsidR="005353F2" w:rsidRPr="00993DF3" w:rsidRDefault="0070750B">
            <w:pPr>
              <w:jc w:val="center"/>
              <w:rPr>
                <w:rFonts w:ascii="Times New Roman" w:hAnsi="Times New Roman" w:cs="Times New Roman"/>
                <w:sz w:val="24"/>
                <w:szCs w:val="24"/>
              </w:rPr>
            </w:pPr>
            <w:r w:rsidRPr="00993DF3">
              <w:rPr>
                <w:rFonts w:ascii="Times New Roman" w:hAnsi="Times New Roman" w:cs="Times New Roman"/>
                <w:sz w:val="24"/>
                <w:szCs w:val="24"/>
              </w:rPr>
              <w:t>100</w:t>
            </w:r>
          </w:p>
        </w:tc>
        <w:tc>
          <w:tcPr>
            <w:tcW w:w="747" w:type="dxa"/>
            <w:tcBorders>
              <w:bottom w:val="single" w:sz="1" w:space="0" w:color="000000"/>
            </w:tcBorders>
            <w:shd w:val="clear" w:color="auto" w:fill="FFFFFF"/>
          </w:tcPr>
          <w:p w14:paraId="3AF3DD0E" w14:textId="77777777" w:rsidR="005353F2" w:rsidRPr="00993DF3" w:rsidRDefault="0070750B">
            <w:pPr>
              <w:jc w:val="center"/>
              <w:rPr>
                <w:rFonts w:ascii="Times New Roman" w:hAnsi="Times New Roman" w:cs="Times New Roman"/>
                <w:sz w:val="24"/>
                <w:szCs w:val="24"/>
              </w:rPr>
            </w:pPr>
            <w:r w:rsidRPr="00993DF3">
              <w:rPr>
                <w:rFonts w:ascii="Times New Roman" w:hAnsi="Times New Roman" w:cs="Times New Roman"/>
                <w:sz w:val="24"/>
                <w:szCs w:val="24"/>
              </w:rPr>
              <w:t>100</w:t>
            </w:r>
          </w:p>
        </w:tc>
        <w:tc>
          <w:tcPr>
            <w:tcW w:w="756" w:type="dxa"/>
            <w:tcBorders>
              <w:bottom w:val="single" w:sz="1" w:space="0" w:color="000000"/>
            </w:tcBorders>
            <w:shd w:val="clear" w:color="auto" w:fill="FFFFFF"/>
          </w:tcPr>
          <w:p w14:paraId="387441C5" w14:textId="77777777" w:rsidR="005353F2" w:rsidRPr="00993DF3" w:rsidRDefault="0070750B">
            <w:pPr>
              <w:jc w:val="center"/>
              <w:rPr>
                <w:rFonts w:ascii="Times New Roman" w:hAnsi="Times New Roman" w:cs="Times New Roman"/>
                <w:sz w:val="24"/>
                <w:szCs w:val="24"/>
              </w:rPr>
            </w:pPr>
            <w:r w:rsidRPr="00993DF3">
              <w:rPr>
                <w:rFonts w:ascii="Times New Roman" w:hAnsi="Times New Roman" w:cs="Times New Roman"/>
                <w:sz w:val="24"/>
                <w:szCs w:val="24"/>
              </w:rPr>
              <w:t>100</w:t>
            </w:r>
          </w:p>
        </w:tc>
        <w:tc>
          <w:tcPr>
            <w:tcW w:w="746" w:type="dxa"/>
            <w:tcBorders>
              <w:bottom w:val="single" w:sz="1" w:space="0" w:color="000000"/>
            </w:tcBorders>
            <w:shd w:val="clear" w:color="auto" w:fill="FFFFFF"/>
          </w:tcPr>
          <w:p w14:paraId="5F0BFAAE" w14:textId="77777777" w:rsidR="005353F2" w:rsidRPr="00993DF3" w:rsidRDefault="0070750B">
            <w:pPr>
              <w:jc w:val="center"/>
              <w:rPr>
                <w:rFonts w:ascii="Times New Roman" w:hAnsi="Times New Roman" w:cs="Times New Roman"/>
                <w:i/>
                <w:iCs/>
                <w:sz w:val="24"/>
                <w:szCs w:val="24"/>
              </w:rPr>
            </w:pPr>
            <w:r w:rsidRPr="00993DF3">
              <w:rPr>
                <w:rFonts w:ascii="Times New Roman" w:hAnsi="Times New Roman" w:cs="Times New Roman"/>
                <w:sz w:val="24"/>
                <w:szCs w:val="24"/>
              </w:rPr>
              <w:t>100</w:t>
            </w:r>
          </w:p>
        </w:tc>
      </w:tr>
      <w:tr w:rsidR="005353F2" w:rsidRPr="00993DF3" w14:paraId="38DF3E43" w14:textId="77777777" w:rsidTr="00993DF3">
        <w:tblPrEx>
          <w:tblCellMar>
            <w:top w:w="55" w:type="dxa"/>
            <w:left w:w="55" w:type="dxa"/>
            <w:bottom w:w="55" w:type="dxa"/>
            <w:right w:w="55" w:type="dxa"/>
          </w:tblCellMar>
        </w:tblPrEx>
        <w:trPr>
          <w:gridAfter w:val="1"/>
          <w:wAfter w:w="17" w:type="dxa"/>
          <w:trHeight w:hRule="exact" w:val="346"/>
        </w:trPr>
        <w:tc>
          <w:tcPr>
            <w:tcW w:w="1137" w:type="dxa"/>
            <w:tcBorders>
              <w:bottom w:val="single" w:sz="1" w:space="0" w:color="000000"/>
            </w:tcBorders>
            <w:shd w:val="clear" w:color="auto" w:fill="FFFFFF"/>
          </w:tcPr>
          <w:p w14:paraId="40DAFF0C" w14:textId="77777777" w:rsidR="005353F2" w:rsidRPr="00993DF3" w:rsidRDefault="0070750B">
            <w:pPr>
              <w:jc w:val="both"/>
              <w:rPr>
                <w:rFonts w:ascii="Times New Roman" w:hAnsi="Times New Roman" w:cs="Times New Roman"/>
                <w:i/>
                <w:iCs/>
                <w:sz w:val="24"/>
                <w:szCs w:val="24"/>
              </w:rPr>
            </w:pPr>
            <w:r w:rsidRPr="00993DF3">
              <w:rPr>
                <w:rFonts w:ascii="Times New Roman" w:hAnsi="Times New Roman" w:cs="Times New Roman"/>
                <w:i/>
                <w:iCs/>
                <w:sz w:val="24"/>
                <w:szCs w:val="24"/>
              </w:rPr>
              <w:t>Aandeel</w:t>
            </w:r>
          </w:p>
        </w:tc>
        <w:tc>
          <w:tcPr>
            <w:tcW w:w="792" w:type="dxa"/>
            <w:tcBorders>
              <w:bottom w:val="single" w:sz="1" w:space="0" w:color="000000"/>
            </w:tcBorders>
            <w:shd w:val="clear" w:color="auto" w:fill="FFFFFF"/>
          </w:tcPr>
          <w:p w14:paraId="2C7734F8" w14:textId="77777777" w:rsidR="005353F2" w:rsidRPr="00993DF3" w:rsidRDefault="0070750B">
            <w:pPr>
              <w:jc w:val="center"/>
              <w:rPr>
                <w:rFonts w:ascii="Times New Roman" w:hAnsi="Times New Roman" w:cs="Times New Roman"/>
                <w:i/>
                <w:iCs/>
                <w:sz w:val="24"/>
                <w:szCs w:val="24"/>
              </w:rPr>
            </w:pPr>
            <w:r w:rsidRPr="00993DF3">
              <w:rPr>
                <w:rFonts w:ascii="Times New Roman" w:hAnsi="Times New Roman" w:cs="Times New Roman"/>
                <w:i/>
                <w:iCs/>
                <w:sz w:val="24"/>
                <w:szCs w:val="24"/>
              </w:rPr>
              <w:t>33</w:t>
            </w:r>
          </w:p>
        </w:tc>
        <w:tc>
          <w:tcPr>
            <w:tcW w:w="526" w:type="dxa"/>
            <w:tcBorders>
              <w:bottom w:val="single" w:sz="1" w:space="0" w:color="000000"/>
            </w:tcBorders>
            <w:shd w:val="clear" w:color="auto" w:fill="FFFFFF"/>
          </w:tcPr>
          <w:p w14:paraId="7437DE1D" w14:textId="77777777" w:rsidR="005353F2" w:rsidRPr="00993DF3" w:rsidRDefault="0070750B">
            <w:pPr>
              <w:jc w:val="center"/>
              <w:rPr>
                <w:rFonts w:ascii="Times New Roman" w:hAnsi="Times New Roman" w:cs="Times New Roman"/>
                <w:i/>
                <w:iCs/>
                <w:sz w:val="24"/>
                <w:szCs w:val="24"/>
              </w:rPr>
            </w:pPr>
            <w:r w:rsidRPr="00993DF3">
              <w:rPr>
                <w:rFonts w:ascii="Times New Roman" w:hAnsi="Times New Roman" w:cs="Times New Roman"/>
                <w:i/>
                <w:iCs/>
                <w:sz w:val="24"/>
                <w:szCs w:val="24"/>
              </w:rPr>
              <w:t>36</w:t>
            </w:r>
          </w:p>
        </w:tc>
        <w:tc>
          <w:tcPr>
            <w:tcW w:w="757" w:type="dxa"/>
            <w:tcBorders>
              <w:bottom w:val="single" w:sz="1" w:space="0" w:color="000000"/>
            </w:tcBorders>
            <w:shd w:val="clear" w:color="auto" w:fill="FFFFFF"/>
          </w:tcPr>
          <w:p w14:paraId="1E50FE71" w14:textId="77777777" w:rsidR="005353F2" w:rsidRPr="00993DF3" w:rsidRDefault="0070750B">
            <w:pPr>
              <w:jc w:val="center"/>
              <w:rPr>
                <w:rFonts w:ascii="Times New Roman" w:hAnsi="Times New Roman" w:cs="Times New Roman"/>
                <w:i/>
                <w:iCs/>
                <w:sz w:val="24"/>
                <w:szCs w:val="24"/>
              </w:rPr>
            </w:pPr>
            <w:r w:rsidRPr="00993DF3">
              <w:rPr>
                <w:rFonts w:ascii="Times New Roman" w:hAnsi="Times New Roman" w:cs="Times New Roman"/>
                <w:i/>
                <w:iCs/>
                <w:sz w:val="24"/>
                <w:szCs w:val="24"/>
              </w:rPr>
              <w:t>15</w:t>
            </w:r>
          </w:p>
        </w:tc>
        <w:tc>
          <w:tcPr>
            <w:tcW w:w="747" w:type="dxa"/>
            <w:tcBorders>
              <w:bottom w:val="single" w:sz="1" w:space="0" w:color="000000"/>
            </w:tcBorders>
            <w:shd w:val="clear" w:color="auto" w:fill="FFFFFF"/>
          </w:tcPr>
          <w:p w14:paraId="243DEAED" w14:textId="77777777" w:rsidR="005353F2" w:rsidRPr="00993DF3" w:rsidRDefault="0070750B">
            <w:pPr>
              <w:jc w:val="center"/>
              <w:rPr>
                <w:rFonts w:ascii="Times New Roman" w:hAnsi="Times New Roman" w:cs="Times New Roman"/>
                <w:i/>
                <w:iCs/>
                <w:sz w:val="24"/>
                <w:szCs w:val="24"/>
              </w:rPr>
            </w:pPr>
            <w:r w:rsidRPr="00993DF3">
              <w:rPr>
                <w:rFonts w:ascii="Times New Roman" w:hAnsi="Times New Roman" w:cs="Times New Roman"/>
                <w:i/>
                <w:iCs/>
                <w:sz w:val="24"/>
                <w:szCs w:val="24"/>
              </w:rPr>
              <w:t>16</w:t>
            </w:r>
          </w:p>
        </w:tc>
        <w:tc>
          <w:tcPr>
            <w:tcW w:w="757" w:type="dxa"/>
            <w:gridSpan w:val="2"/>
            <w:tcBorders>
              <w:bottom w:val="single" w:sz="1" w:space="0" w:color="000000"/>
            </w:tcBorders>
            <w:shd w:val="clear" w:color="auto" w:fill="FFFFFF"/>
          </w:tcPr>
          <w:p w14:paraId="766A5093" w14:textId="77777777" w:rsidR="005353F2" w:rsidRPr="00993DF3" w:rsidRDefault="0070750B">
            <w:pPr>
              <w:jc w:val="center"/>
              <w:rPr>
                <w:rFonts w:ascii="Times New Roman" w:hAnsi="Times New Roman" w:cs="Times New Roman"/>
                <w:i/>
                <w:iCs/>
                <w:sz w:val="24"/>
                <w:szCs w:val="24"/>
              </w:rPr>
            </w:pPr>
            <w:r w:rsidRPr="00993DF3">
              <w:rPr>
                <w:rFonts w:ascii="Times New Roman" w:hAnsi="Times New Roman" w:cs="Times New Roman"/>
                <w:i/>
                <w:iCs/>
                <w:sz w:val="24"/>
                <w:szCs w:val="24"/>
              </w:rPr>
              <w:t>100</w:t>
            </w:r>
          </w:p>
        </w:tc>
        <w:tc>
          <w:tcPr>
            <w:tcW w:w="747" w:type="dxa"/>
            <w:tcBorders>
              <w:bottom w:val="single" w:sz="1" w:space="0" w:color="000000"/>
            </w:tcBorders>
            <w:shd w:val="clear" w:color="auto" w:fill="FFFFFF"/>
          </w:tcPr>
          <w:p w14:paraId="67A2065E" w14:textId="77777777" w:rsidR="005353F2" w:rsidRPr="00993DF3" w:rsidRDefault="0070750B">
            <w:pPr>
              <w:jc w:val="center"/>
              <w:rPr>
                <w:rFonts w:ascii="Times New Roman" w:hAnsi="Times New Roman" w:cs="Times New Roman"/>
                <w:i/>
                <w:iCs/>
                <w:sz w:val="24"/>
                <w:szCs w:val="24"/>
              </w:rPr>
            </w:pPr>
            <w:r w:rsidRPr="00993DF3">
              <w:rPr>
                <w:rFonts w:ascii="Times New Roman" w:hAnsi="Times New Roman" w:cs="Times New Roman"/>
                <w:i/>
                <w:iCs/>
                <w:sz w:val="24"/>
                <w:szCs w:val="24"/>
              </w:rPr>
              <w:t>55</w:t>
            </w:r>
          </w:p>
        </w:tc>
        <w:tc>
          <w:tcPr>
            <w:tcW w:w="757" w:type="dxa"/>
            <w:tcBorders>
              <w:bottom w:val="single" w:sz="1" w:space="0" w:color="000000"/>
            </w:tcBorders>
            <w:shd w:val="clear" w:color="auto" w:fill="FFFFFF"/>
          </w:tcPr>
          <w:p w14:paraId="4DDB44CD" w14:textId="77777777" w:rsidR="005353F2" w:rsidRPr="00993DF3" w:rsidRDefault="0070750B">
            <w:pPr>
              <w:jc w:val="center"/>
              <w:rPr>
                <w:rFonts w:ascii="Times New Roman" w:hAnsi="Times New Roman" w:cs="Times New Roman"/>
                <w:i/>
                <w:iCs/>
                <w:sz w:val="24"/>
                <w:szCs w:val="24"/>
              </w:rPr>
            </w:pPr>
            <w:r w:rsidRPr="00993DF3">
              <w:rPr>
                <w:rFonts w:ascii="Times New Roman" w:hAnsi="Times New Roman" w:cs="Times New Roman"/>
                <w:i/>
                <w:iCs/>
                <w:sz w:val="24"/>
                <w:szCs w:val="24"/>
              </w:rPr>
              <w:t>32</w:t>
            </w:r>
          </w:p>
        </w:tc>
        <w:tc>
          <w:tcPr>
            <w:tcW w:w="747" w:type="dxa"/>
            <w:tcBorders>
              <w:bottom w:val="single" w:sz="1" w:space="0" w:color="000000"/>
            </w:tcBorders>
            <w:shd w:val="clear" w:color="auto" w:fill="FFFFFF"/>
          </w:tcPr>
          <w:p w14:paraId="6FEB4197" w14:textId="77777777" w:rsidR="005353F2" w:rsidRPr="00993DF3" w:rsidRDefault="0070750B">
            <w:pPr>
              <w:jc w:val="center"/>
              <w:rPr>
                <w:rFonts w:ascii="Times New Roman" w:hAnsi="Times New Roman" w:cs="Times New Roman"/>
                <w:i/>
                <w:iCs/>
                <w:sz w:val="24"/>
                <w:szCs w:val="24"/>
              </w:rPr>
            </w:pPr>
            <w:r w:rsidRPr="00993DF3">
              <w:rPr>
                <w:rFonts w:ascii="Times New Roman" w:hAnsi="Times New Roman" w:cs="Times New Roman"/>
                <w:i/>
                <w:iCs/>
                <w:sz w:val="24"/>
                <w:szCs w:val="24"/>
              </w:rPr>
              <w:t>7</w:t>
            </w:r>
          </w:p>
        </w:tc>
        <w:tc>
          <w:tcPr>
            <w:tcW w:w="756" w:type="dxa"/>
            <w:tcBorders>
              <w:bottom w:val="single" w:sz="1" w:space="0" w:color="000000"/>
            </w:tcBorders>
            <w:shd w:val="clear" w:color="auto" w:fill="FFFFFF"/>
          </w:tcPr>
          <w:p w14:paraId="2F4024E2" w14:textId="77777777" w:rsidR="005353F2" w:rsidRPr="00993DF3" w:rsidRDefault="0070750B">
            <w:pPr>
              <w:jc w:val="center"/>
              <w:rPr>
                <w:rFonts w:ascii="Times New Roman" w:hAnsi="Times New Roman" w:cs="Times New Roman"/>
                <w:i/>
                <w:iCs/>
                <w:sz w:val="24"/>
                <w:szCs w:val="24"/>
              </w:rPr>
            </w:pPr>
            <w:r w:rsidRPr="00993DF3">
              <w:rPr>
                <w:rFonts w:ascii="Times New Roman" w:hAnsi="Times New Roman" w:cs="Times New Roman"/>
                <w:i/>
                <w:iCs/>
                <w:sz w:val="24"/>
                <w:szCs w:val="24"/>
              </w:rPr>
              <w:t>6</w:t>
            </w:r>
          </w:p>
        </w:tc>
        <w:tc>
          <w:tcPr>
            <w:tcW w:w="746" w:type="dxa"/>
            <w:tcBorders>
              <w:bottom w:val="single" w:sz="1" w:space="0" w:color="000000"/>
            </w:tcBorders>
            <w:shd w:val="clear" w:color="auto" w:fill="FFFFFF"/>
          </w:tcPr>
          <w:p w14:paraId="4AD3C2A6" w14:textId="77777777" w:rsidR="005353F2" w:rsidRPr="00993DF3" w:rsidRDefault="0070750B">
            <w:pPr>
              <w:jc w:val="center"/>
              <w:rPr>
                <w:rFonts w:ascii="Times New Roman" w:hAnsi="Times New Roman" w:cs="Times New Roman"/>
                <w:sz w:val="24"/>
                <w:szCs w:val="24"/>
              </w:rPr>
            </w:pPr>
            <w:r w:rsidRPr="00993DF3">
              <w:rPr>
                <w:rFonts w:ascii="Times New Roman" w:hAnsi="Times New Roman" w:cs="Times New Roman"/>
                <w:i/>
                <w:iCs/>
                <w:sz w:val="24"/>
                <w:szCs w:val="24"/>
              </w:rPr>
              <w:t>100</w:t>
            </w:r>
          </w:p>
        </w:tc>
      </w:tr>
    </w:tbl>
    <w:p w14:paraId="67644FA7" w14:textId="77777777" w:rsidR="00863695" w:rsidRPr="00EB06F7" w:rsidRDefault="00863695">
      <w:pPr>
        <w:jc w:val="both"/>
        <w:rPr>
          <w:rFonts w:ascii="Times New Roman" w:hAnsi="Times New Roman" w:cs="Times New Roman"/>
          <w:sz w:val="24"/>
          <w:szCs w:val="24"/>
        </w:rPr>
      </w:pPr>
    </w:p>
    <w:p w14:paraId="0E50A62B" w14:textId="77777777" w:rsidR="005353F2" w:rsidRPr="00EB06F7" w:rsidRDefault="0070750B">
      <w:pPr>
        <w:jc w:val="both"/>
        <w:rPr>
          <w:rFonts w:ascii="Times New Roman" w:hAnsi="Times New Roman" w:cs="Times New Roman"/>
          <w:sz w:val="24"/>
          <w:szCs w:val="24"/>
        </w:rPr>
      </w:pPr>
      <w:r w:rsidRPr="00EB06F7">
        <w:rPr>
          <w:rFonts w:ascii="Times New Roman" w:hAnsi="Times New Roman" w:cs="Times New Roman"/>
          <w:sz w:val="24"/>
          <w:szCs w:val="24"/>
        </w:rPr>
        <w:t xml:space="preserve">Het algemene beeld is dat zelfs grote voetballiefhebbers gemeentelijke financiële steun aan betaald voetbalclubs geen goede zaak vinden. Dat dergelijke steun soms </w:t>
      </w:r>
      <w:r w:rsidR="00863695" w:rsidRPr="00EB06F7">
        <w:rPr>
          <w:rFonts w:ascii="Times New Roman" w:hAnsi="Times New Roman" w:cs="Times New Roman"/>
          <w:sz w:val="24"/>
          <w:szCs w:val="24"/>
        </w:rPr>
        <w:t>g</w:t>
      </w:r>
      <w:r w:rsidRPr="00EB06F7">
        <w:rPr>
          <w:rFonts w:ascii="Times New Roman" w:hAnsi="Times New Roman" w:cs="Times New Roman"/>
          <w:sz w:val="24"/>
          <w:szCs w:val="24"/>
        </w:rPr>
        <w:t xml:space="preserve">een politiek draagvlak </w:t>
      </w:r>
      <w:r w:rsidR="00863695" w:rsidRPr="00EB06F7">
        <w:rPr>
          <w:rFonts w:ascii="Times New Roman" w:hAnsi="Times New Roman" w:cs="Times New Roman"/>
          <w:sz w:val="24"/>
          <w:szCs w:val="24"/>
        </w:rPr>
        <w:t>heeft</w:t>
      </w:r>
      <w:r w:rsidRPr="00EB06F7">
        <w:rPr>
          <w:rFonts w:ascii="Times New Roman" w:hAnsi="Times New Roman" w:cs="Times New Roman"/>
          <w:sz w:val="24"/>
          <w:szCs w:val="24"/>
        </w:rPr>
        <w:t xml:space="preserve"> is dan ook niet verwonderlijk. Dat sommige gemeenten </w:t>
      </w:r>
      <w:r w:rsidR="008A251D" w:rsidRPr="00EB06F7">
        <w:rPr>
          <w:rFonts w:ascii="Times New Roman" w:hAnsi="Times New Roman" w:cs="Times New Roman"/>
          <w:sz w:val="24"/>
          <w:szCs w:val="24"/>
        </w:rPr>
        <w:t>toch</w:t>
      </w:r>
      <w:r w:rsidRPr="00EB06F7">
        <w:rPr>
          <w:rFonts w:ascii="Times New Roman" w:hAnsi="Times New Roman" w:cs="Times New Roman"/>
          <w:sz w:val="24"/>
          <w:szCs w:val="24"/>
        </w:rPr>
        <w:t xml:space="preserve"> financiële steun verlenen des te meer. Of toch niet?</w:t>
      </w:r>
    </w:p>
    <w:p w14:paraId="470373B2" w14:textId="77777777" w:rsidR="00863695" w:rsidRDefault="0070750B">
      <w:pPr>
        <w:jc w:val="both"/>
      </w:pPr>
      <w:r w:rsidRPr="00EB06F7">
        <w:rPr>
          <w:rFonts w:ascii="Times New Roman" w:hAnsi="Times New Roman" w:cs="Times New Roman"/>
          <w:sz w:val="24"/>
          <w:szCs w:val="24"/>
        </w:rPr>
        <w:t xml:space="preserve">Er zijn wel wat verklaringen aan te dragen. In de eerste plaats is de minderheid die voor financiële steun pleit vaak erg gepassioneerd. Iedereen kent de beelden van beslissende vergaderingen van een gemeenteraad. De publieke tribune is voller dan ooit en doet even </w:t>
      </w:r>
      <w:r w:rsidR="000503D3" w:rsidRPr="00EB06F7">
        <w:rPr>
          <w:rFonts w:ascii="Times New Roman" w:hAnsi="Times New Roman" w:cs="Times New Roman"/>
          <w:sz w:val="24"/>
          <w:szCs w:val="24"/>
        </w:rPr>
        <w:t xml:space="preserve">heel </w:t>
      </w:r>
      <w:r w:rsidRPr="00EB06F7">
        <w:rPr>
          <w:rFonts w:ascii="Times New Roman" w:hAnsi="Times New Roman" w:cs="Times New Roman"/>
          <w:sz w:val="24"/>
          <w:szCs w:val="24"/>
        </w:rPr>
        <w:t xml:space="preserve">sterk denken aan een voetbalstadion. Politici hebben de neiging hiervoor te zwichten. </w:t>
      </w:r>
      <w:r w:rsidR="000503D3" w:rsidRPr="00EB06F7">
        <w:rPr>
          <w:rFonts w:ascii="Times New Roman" w:hAnsi="Times New Roman" w:cs="Times New Roman"/>
          <w:sz w:val="24"/>
          <w:szCs w:val="24"/>
        </w:rPr>
        <w:t>M</w:t>
      </w:r>
      <w:r w:rsidRPr="00EB06F7">
        <w:rPr>
          <w:rFonts w:ascii="Times New Roman" w:hAnsi="Times New Roman" w:cs="Times New Roman"/>
          <w:sz w:val="24"/>
          <w:szCs w:val="24"/>
        </w:rPr>
        <w:t xml:space="preserve">isschien </w:t>
      </w:r>
      <w:r w:rsidR="000503D3" w:rsidRPr="00EB06F7">
        <w:rPr>
          <w:rFonts w:ascii="Times New Roman" w:hAnsi="Times New Roman" w:cs="Times New Roman"/>
          <w:sz w:val="24"/>
          <w:szCs w:val="24"/>
        </w:rPr>
        <w:t xml:space="preserve">hebben lokale politici en hun ambtenaren </w:t>
      </w:r>
      <w:r w:rsidRPr="00EB06F7">
        <w:rPr>
          <w:rFonts w:ascii="Times New Roman" w:hAnsi="Times New Roman" w:cs="Times New Roman"/>
          <w:sz w:val="24"/>
          <w:szCs w:val="24"/>
        </w:rPr>
        <w:t xml:space="preserve">ook wel een speciaal inzicht in de effecten van </w:t>
      </w:r>
      <w:r w:rsidRPr="00EB06F7">
        <w:rPr>
          <w:rFonts w:ascii="Times New Roman" w:hAnsi="Times New Roman" w:cs="Times New Roman"/>
          <w:i/>
          <w:sz w:val="24"/>
          <w:szCs w:val="24"/>
        </w:rPr>
        <w:t>citybranding</w:t>
      </w:r>
      <w:r w:rsidRPr="00EB06F7">
        <w:rPr>
          <w:rFonts w:ascii="Times New Roman" w:hAnsi="Times New Roman" w:cs="Times New Roman"/>
          <w:sz w:val="24"/>
          <w:szCs w:val="24"/>
        </w:rPr>
        <w:t xml:space="preserve"> en </w:t>
      </w:r>
      <w:r w:rsidRPr="00EB06F7">
        <w:rPr>
          <w:rFonts w:ascii="Times New Roman" w:hAnsi="Times New Roman" w:cs="Times New Roman"/>
          <w:i/>
          <w:sz w:val="24"/>
          <w:szCs w:val="24"/>
        </w:rPr>
        <w:t>citymarketing</w:t>
      </w:r>
      <w:r w:rsidRPr="00EB06F7">
        <w:rPr>
          <w:rFonts w:ascii="Times New Roman" w:hAnsi="Times New Roman" w:cs="Times New Roman"/>
          <w:sz w:val="24"/>
          <w:szCs w:val="24"/>
        </w:rPr>
        <w:t>. Daarbij rijst dan wel de vraag hoe het verder moet met gemeenten als Apeldoorn, Haarlem</w:t>
      </w:r>
      <w:r w:rsidR="000503D3" w:rsidRPr="00EB06F7">
        <w:rPr>
          <w:rFonts w:ascii="Times New Roman" w:hAnsi="Times New Roman" w:cs="Times New Roman"/>
          <w:sz w:val="24"/>
          <w:szCs w:val="24"/>
        </w:rPr>
        <w:t>, Roosendaal</w:t>
      </w:r>
      <w:r w:rsidRPr="00EB06F7">
        <w:rPr>
          <w:rFonts w:ascii="Times New Roman" w:hAnsi="Times New Roman" w:cs="Times New Roman"/>
          <w:sz w:val="24"/>
          <w:szCs w:val="24"/>
        </w:rPr>
        <w:t xml:space="preserve"> en Veendam</w:t>
      </w:r>
      <w:r w:rsidR="000503D3" w:rsidRPr="00EB06F7">
        <w:rPr>
          <w:rFonts w:ascii="Times New Roman" w:hAnsi="Times New Roman" w:cs="Times New Roman"/>
          <w:sz w:val="24"/>
          <w:szCs w:val="24"/>
        </w:rPr>
        <w:t>,</w:t>
      </w:r>
      <w:r w:rsidR="00863695" w:rsidRPr="00EB06F7">
        <w:rPr>
          <w:rFonts w:ascii="Times New Roman" w:hAnsi="Times New Roman" w:cs="Times New Roman"/>
          <w:sz w:val="24"/>
          <w:szCs w:val="24"/>
        </w:rPr>
        <w:t xml:space="preserve"> waar </w:t>
      </w:r>
      <w:r w:rsidR="000503D3" w:rsidRPr="00EB06F7">
        <w:rPr>
          <w:rFonts w:ascii="Times New Roman" w:hAnsi="Times New Roman" w:cs="Times New Roman"/>
          <w:sz w:val="24"/>
          <w:szCs w:val="24"/>
        </w:rPr>
        <w:t>in de afgelopen vijf jaar</w:t>
      </w:r>
      <w:r w:rsidR="00863695" w:rsidRPr="00EB06F7">
        <w:rPr>
          <w:rFonts w:ascii="Times New Roman" w:hAnsi="Times New Roman" w:cs="Times New Roman"/>
          <w:sz w:val="24"/>
          <w:szCs w:val="24"/>
        </w:rPr>
        <w:t xml:space="preserve"> de lokale </w:t>
      </w:r>
      <w:r w:rsidR="000503D3" w:rsidRPr="00EB06F7">
        <w:rPr>
          <w:rFonts w:ascii="Times New Roman" w:hAnsi="Times New Roman" w:cs="Times New Roman"/>
          <w:sz w:val="24"/>
          <w:szCs w:val="24"/>
        </w:rPr>
        <w:t>BVO’s</w:t>
      </w:r>
      <w:r w:rsidR="00863695" w:rsidRPr="00EB06F7">
        <w:rPr>
          <w:rFonts w:ascii="Times New Roman" w:hAnsi="Times New Roman" w:cs="Times New Roman"/>
          <w:sz w:val="24"/>
          <w:szCs w:val="24"/>
        </w:rPr>
        <w:t xml:space="preserve"> failliet gingen</w:t>
      </w:r>
      <w:r w:rsidRPr="00EB06F7">
        <w:rPr>
          <w:rFonts w:ascii="Times New Roman" w:hAnsi="Times New Roman" w:cs="Times New Roman"/>
          <w:sz w:val="24"/>
          <w:szCs w:val="24"/>
        </w:rPr>
        <w:t>. Ten slotte kennen bestuurders altijd de neiging om iets neer te zetten, om een plaats in de geschiedenisboeken te verwerven.</w:t>
      </w:r>
      <w:r w:rsidR="002D4907" w:rsidRPr="00EB06F7">
        <w:rPr>
          <w:rFonts w:ascii="Times New Roman" w:hAnsi="Times New Roman" w:cs="Times New Roman"/>
          <w:sz w:val="24"/>
          <w:szCs w:val="24"/>
        </w:rPr>
        <w:t xml:space="preserve"> Sommige wethouders zullen altijd bekend blijven als de redders van de lokale club.</w:t>
      </w:r>
      <w:r w:rsidR="002D4907">
        <w:rPr>
          <w:rFonts w:ascii="Times New Roman" w:hAnsi="Times New Roman" w:cs="Times New Roman"/>
          <w:sz w:val="24"/>
          <w:szCs w:val="24"/>
        </w:rPr>
        <w:t xml:space="preserve"> </w:t>
      </w:r>
    </w:p>
    <w:sectPr w:rsidR="00863695" w:rsidSect="005353F2">
      <w:footerReference w:type="default" r:id="rId8"/>
      <w:pgSz w:w="11906" w:h="16838"/>
      <w:pgMar w:top="1417" w:right="1417" w:bottom="1969" w:left="1417" w:header="708" w:footer="1417" w:gutter="0"/>
      <w:cols w:space="708"/>
      <w:docGrid w:linePitch="360" w:charSpace="3686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3F666" w14:textId="77777777" w:rsidR="00AB7C2F" w:rsidRDefault="00AB7C2F">
      <w:pPr>
        <w:spacing w:after="0" w:line="240" w:lineRule="auto"/>
      </w:pPr>
      <w:r>
        <w:separator/>
      </w:r>
    </w:p>
  </w:endnote>
  <w:endnote w:type="continuationSeparator" w:id="0">
    <w:p w14:paraId="23C07CA9" w14:textId="77777777" w:rsidR="00AB7C2F" w:rsidRDefault="00AB7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imSun">
    <w:altName w:val="宋体"/>
    <w:panose1 w:val="00000000000000000000"/>
    <w:charset w:val="86"/>
    <w:family w:val="auto"/>
    <w:notTrueType/>
    <w:pitch w:val="variable"/>
    <w:sig w:usb0="00000000"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Microsoft YaHei">
    <w:charset w:val="00"/>
    <w:family w:val="auto"/>
    <w:pitch w:val="variable"/>
  </w:font>
  <w:font w:name="Mangal">
    <w:panose1 w:val="00000000000000000000"/>
    <w:charset w:val="01"/>
    <w:family w:val="roman"/>
    <w:notTrueType/>
    <w:pitch w:val="variable"/>
    <w:sig w:usb0="00002000" w:usb1="00000000" w:usb2="00000000" w:usb3="00000000" w:csb0="00000000"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7ADDA" w14:textId="77777777" w:rsidR="005353F2" w:rsidRDefault="00337342">
    <w:pPr>
      <w:pStyle w:val="Voettekst"/>
      <w:jc w:val="center"/>
    </w:pPr>
    <w:r>
      <w:fldChar w:fldCharType="begin"/>
    </w:r>
    <w:r w:rsidR="0070750B">
      <w:instrText xml:space="preserve"> PAGE </w:instrText>
    </w:r>
    <w:r>
      <w:fldChar w:fldCharType="separate"/>
    </w:r>
    <w:r w:rsidR="007F59B8">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A56B8" w14:textId="77777777" w:rsidR="00AB7C2F" w:rsidRDefault="00AB7C2F">
      <w:pPr>
        <w:spacing w:after="0" w:line="240" w:lineRule="auto"/>
      </w:pPr>
      <w:r>
        <w:separator/>
      </w:r>
    </w:p>
  </w:footnote>
  <w:footnote w:type="continuationSeparator" w:id="0">
    <w:p w14:paraId="0F2784B7" w14:textId="77777777" w:rsidR="00AB7C2F" w:rsidRDefault="00AB7C2F">
      <w:pPr>
        <w:spacing w:after="0" w:line="240" w:lineRule="auto"/>
      </w:pPr>
      <w:r>
        <w:continuationSeparator/>
      </w:r>
    </w:p>
  </w:footnote>
  <w:footnote w:id="1">
    <w:p w14:paraId="7F67F69A" w14:textId="77777777" w:rsidR="005353F2" w:rsidRDefault="0070750B">
      <w:pPr>
        <w:jc w:val="both"/>
      </w:pPr>
      <w:r>
        <w:rPr>
          <w:rStyle w:val="Voetnoottekens"/>
          <w:rFonts w:ascii="Times New Roman" w:hAnsi="Times New Roman"/>
        </w:rPr>
        <w:footnoteRef/>
      </w:r>
      <w:r>
        <w:rPr>
          <w:rFonts w:ascii="Times New Roman" w:hAnsi="Times New Roman" w:cs="Times New Roman"/>
        </w:rPr>
        <w:tab/>
        <w:t xml:space="preserve"> </w:t>
      </w:r>
      <w:hyperlink r:id="rId1" w:history="1">
        <w:r>
          <w:rPr>
            <w:rStyle w:val="Hyperlink"/>
            <w:rFonts w:ascii="Times New Roman" w:hAnsi="Times New Roman"/>
          </w:rPr>
          <w:t>www.rsssf.com</w:t>
        </w:r>
      </w:hyperlink>
      <w:r>
        <w:rPr>
          <w:rFonts w:ascii="Times New Roman" w:hAnsi="Times New Roman" w:cs="Times New Roman"/>
        </w:rPr>
        <w:t>, geraadpleegd op 15 juli 2013</w:t>
      </w:r>
    </w:p>
  </w:footnote>
  <w:footnote w:id="2">
    <w:p w14:paraId="526C5F7D" w14:textId="77777777" w:rsidR="005353F2" w:rsidRDefault="0070750B">
      <w:pPr>
        <w:jc w:val="both"/>
      </w:pPr>
      <w:r>
        <w:rPr>
          <w:rStyle w:val="Voetnoottekens"/>
          <w:rFonts w:ascii="Times New Roman" w:hAnsi="Times New Roman"/>
        </w:rPr>
        <w:footnoteRef/>
      </w:r>
      <w:r>
        <w:rPr>
          <w:rFonts w:ascii="Times New Roman" w:hAnsi="Times New Roman" w:cs="Times New Roman"/>
        </w:rPr>
        <w:tab/>
        <w:t xml:space="preserve"> Zie bijv</w:t>
      </w:r>
      <w:r w:rsidR="008A251D">
        <w:rPr>
          <w:rFonts w:ascii="Times New Roman" w:hAnsi="Times New Roman" w:cs="Times New Roman"/>
        </w:rPr>
        <w:t>oorbeeld</w:t>
      </w:r>
      <w:r>
        <w:rPr>
          <w:rFonts w:ascii="Times New Roman" w:hAnsi="Times New Roman" w:cs="Times New Roman"/>
        </w:rPr>
        <w:t xml:space="preserve"> ‘Gras, geld en grootheidswaan’, Tom-Jan Meeus, NRC, 17 maart 2000</w:t>
      </w:r>
    </w:p>
  </w:footnote>
  <w:footnote w:id="3">
    <w:p w14:paraId="22982DD5" w14:textId="77777777" w:rsidR="00EB06F7" w:rsidRPr="00896D74" w:rsidRDefault="00EB06F7" w:rsidP="00EB06F7">
      <w:pPr>
        <w:pStyle w:val="Voetnoottekst"/>
        <w:rPr>
          <w:rFonts w:ascii="Times New Roman" w:hAnsi="Times New Roman" w:cs="Times New Roman"/>
          <w:kern w:val="24"/>
          <w:sz w:val="24"/>
          <w:szCs w:val="24"/>
        </w:rPr>
      </w:pPr>
      <w:r w:rsidRPr="00896D74">
        <w:rPr>
          <w:rStyle w:val="Voetnootmarkering"/>
          <w:rFonts w:ascii="Times New Roman" w:hAnsi="Times New Roman" w:cs="Times New Roman"/>
          <w:kern w:val="24"/>
          <w:sz w:val="24"/>
          <w:szCs w:val="24"/>
          <w:vertAlign w:val="baseline"/>
        </w:rPr>
        <w:footnoteRef/>
      </w:r>
      <w:r w:rsidRPr="00896D74">
        <w:rPr>
          <w:rFonts w:ascii="Times New Roman" w:hAnsi="Times New Roman" w:cs="Times New Roman"/>
          <w:kern w:val="24"/>
          <w:sz w:val="24"/>
          <w:szCs w:val="24"/>
        </w:rPr>
        <w:t xml:space="preserve"> </w:t>
      </w:r>
      <w:r w:rsidRPr="00896D74">
        <w:rPr>
          <w:rFonts w:ascii="Times New Roman" w:hAnsi="Times New Roman" w:cs="Times New Roman"/>
          <w:kern w:val="24"/>
          <w:sz w:val="24"/>
          <w:szCs w:val="24"/>
        </w:rPr>
        <w:tab/>
      </w:r>
      <w:r w:rsidRPr="00896D74">
        <w:rPr>
          <w:rFonts w:ascii="Times New Roman" w:hAnsi="Times New Roman" w:cs="Times New Roman"/>
          <w:kern w:val="24"/>
          <w:sz w:val="24"/>
          <w:szCs w:val="24"/>
        </w:rPr>
        <w:tab/>
        <w:t>‘WVC: PSV krijgt vier miljoen’</w:t>
      </w:r>
      <w:r>
        <w:rPr>
          <w:rFonts w:ascii="Times New Roman" w:hAnsi="Times New Roman" w:cs="Times New Roman"/>
          <w:kern w:val="24"/>
          <w:sz w:val="24"/>
          <w:szCs w:val="24"/>
        </w:rPr>
        <w:t>, De Telegraaf, 13 juni 1994.</w:t>
      </w:r>
    </w:p>
  </w:footnote>
  <w:footnote w:id="4">
    <w:p w14:paraId="4322FBAD" w14:textId="77777777" w:rsidR="005353F2" w:rsidRDefault="0070750B">
      <w:pPr>
        <w:jc w:val="both"/>
      </w:pPr>
      <w:r>
        <w:rPr>
          <w:rStyle w:val="Voetnoottekens"/>
          <w:rFonts w:ascii="Times New Roman" w:hAnsi="Times New Roman"/>
        </w:rPr>
        <w:footnoteRef/>
      </w:r>
      <w:r>
        <w:rPr>
          <w:rFonts w:ascii="Times New Roman" w:hAnsi="Times New Roman" w:cs="Times New Roman"/>
        </w:rPr>
        <w:tab/>
        <w:t xml:space="preserve"> </w:t>
      </w:r>
      <w:hyperlink r:id="rId2" w:history="1">
        <w:r>
          <w:rPr>
            <w:rStyle w:val="Hyperlink"/>
            <w:rFonts w:ascii="Times New Roman" w:hAnsi="Times New Roman"/>
          </w:rPr>
          <w:t>www.groene.nl/2013/24/de-nieuwe-kuip-is-bijna-rond</w:t>
        </w:r>
      </w:hyperlink>
      <w:r>
        <w:rPr>
          <w:rFonts w:ascii="Times New Roman" w:hAnsi="Times New Roman" w:cs="Times New Roman"/>
        </w:rPr>
        <w:t>, geraadpleegd op 15 juli 2013</w:t>
      </w:r>
    </w:p>
  </w:footnote>
  <w:footnote w:id="5">
    <w:p w14:paraId="301DF7A3" w14:textId="77777777" w:rsidR="005353F2" w:rsidRDefault="0070750B">
      <w:pPr>
        <w:jc w:val="both"/>
      </w:pPr>
      <w:r>
        <w:rPr>
          <w:rStyle w:val="Voetnoottekens"/>
          <w:rFonts w:ascii="Times New Roman" w:hAnsi="Times New Roman"/>
        </w:rPr>
        <w:footnoteRef/>
      </w:r>
      <w:r>
        <w:rPr>
          <w:rFonts w:ascii="Times New Roman" w:hAnsi="Times New Roman" w:cs="Times New Roman"/>
          <w:sz w:val="24"/>
          <w:szCs w:val="24"/>
        </w:rPr>
        <w:tab/>
        <w:t xml:space="preserve"> </w:t>
      </w:r>
      <w:hyperlink r:id="rId3" w:history="1">
        <w:r>
          <w:rPr>
            <w:rStyle w:val="Hyperlink"/>
            <w:rFonts w:ascii="Times New Roman" w:hAnsi="Times New Roman"/>
          </w:rPr>
          <w:t>www.groene.nl/commentaar/2011-05-18/overheid-steunt-betaald-voetbal-met-ruim-1-miljard-euro</w:t>
        </w:r>
      </w:hyperlink>
      <w:r>
        <w:rPr>
          <w:rFonts w:ascii="Times New Roman" w:hAnsi="Times New Roman" w:cs="Times New Roman"/>
        </w:rPr>
        <w:t>, geraadpleegd op 15 juli 2013</w:t>
      </w:r>
    </w:p>
  </w:footnote>
  <w:footnote w:id="6">
    <w:p w14:paraId="08B1EF40" w14:textId="77777777" w:rsidR="00302279" w:rsidRPr="00302279" w:rsidRDefault="00302279" w:rsidP="00302279">
      <w:pPr>
        <w:pStyle w:val="Voetnoottekst"/>
        <w:rPr>
          <w:rFonts w:ascii="Times New Roman" w:hAnsi="Times New Roman" w:cs="Times New Roman"/>
          <w:sz w:val="24"/>
          <w:szCs w:val="24"/>
        </w:rPr>
      </w:pPr>
      <w:r w:rsidRPr="00302279">
        <w:rPr>
          <w:rStyle w:val="Voetnootmarkering"/>
          <w:rFonts w:ascii="Times New Roman" w:hAnsi="Times New Roman" w:cs="Times New Roman"/>
          <w:kern w:val="24"/>
          <w:sz w:val="24"/>
          <w:szCs w:val="24"/>
          <w:vertAlign w:val="baseline"/>
        </w:rPr>
        <w:footnoteRef/>
      </w:r>
      <w:r w:rsidRPr="00302279">
        <w:rPr>
          <w:rFonts w:ascii="Times New Roman" w:hAnsi="Times New Roman" w:cs="Times New Roman"/>
          <w:kern w:val="24"/>
          <w:sz w:val="24"/>
          <w:szCs w:val="24"/>
        </w:rPr>
        <w:t xml:space="preserve"> </w:t>
      </w:r>
      <w:r>
        <w:rPr>
          <w:rFonts w:ascii="Times New Roman" w:hAnsi="Times New Roman" w:cs="Times New Roman"/>
          <w:sz w:val="24"/>
          <w:szCs w:val="24"/>
        </w:rPr>
        <w:tab/>
      </w:r>
      <w:r w:rsidRPr="00302279">
        <w:rPr>
          <w:rFonts w:ascii="Times New Roman" w:hAnsi="Times New Roman" w:cs="Times New Roman"/>
          <w:sz w:val="24"/>
          <w:szCs w:val="24"/>
        </w:rPr>
        <w:t xml:space="preserve">Gemeenten zijn noodlijdende voetbalclubs zat Gemeente wil niet langer twaalfde man </w:t>
      </w:r>
      <w:r>
        <w:rPr>
          <w:rFonts w:ascii="Times New Roman" w:hAnsi="Times New Roman" w:cs="Times New Roman"/>
          <w:sz w:val="24"/>
          <w:szCs w:val="24"/>
        </w:rPr>
        <w:t>spelen, Dolf de Groot en Daan van Lent, 9 april 2011.</w:t>
      </w:r>
    </w:p>
    <w:p w14:paraId="2D342538" w14:textId="77777777" w:rsidR="00302279" w:rsidRPr="00302279" w:rsidRDefault="00302279" w:rsidP="00302279">
      <w:pPr>
        <w:pStyle w:val="Voetnoottekst"/>
        <w:rPr>
          <w:rFonts w:ascii="Times New Roman" w:hAnsi="Times New Roman" w:cs="Times New Roman"/>
          <w:sz w:val="24"/>
          <w:szCs w:val="24"/>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695"/>
    <w:rsid w:val="000503D3"/>
    <w:rsid w:val="002030DB"/>
    <w:rsid w:val="002D4907"/>
    <w:rsid w:val="00302279"/>
    <w:rsid w:val="00337342"/>
    <w:rsid w:val="0035266C"/>
    <w:rsid w:val="005162BE"/>
    <w:rsid w:val="005353F2"/>
    <w:rsid w:val="0070750B"/>
    <w:rsid w:val="007F59B8"/>
    <w:rsid w:val="00842035"/>
    <w:rsid w:val="00863695"/>
    <w:rsid w:val="008A251D"/>
    <w:rsid w:val="00932FBD"/>
    <w:rsid w:val="00993DF3"/>
    <w:rsid w:val="009D68E4"/>
    <w:rsid w:val="00A9236A"/>
    <w:rsid w:val="00AB7C2F"/>
    <w:rsid w:val="00C713D1"/>
    <w:rsid w:val="00D54763"/>
    <w:rsid w:val="00E25478"/>
    <w:rsid w:val="00E46691"/>
    <w:rsid w:val="00EB06F7"/>
    <w:rsid w:val="00EB73A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188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5353F2"/>
    <w:pPr>
      <w:suppressAutoHyphens/>
      <w:spacing w:after="200" w:line="276" w:lineRule="auto"/>
    </w:pPr>
    <w:rPr>
      <w:rFonts w:ascii="Calibri" w:eastAsia="SimSun" w:hAnsi="Calibri" w:cs="Calibri"/>
      <w:kern w:val="1"/>
      <w:sz w:val="22"/>
      <w:szCs w:val="22"/>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oetnoottekens">
    <w:name w:val="Voetnoottekens"/>
    <w:rsid w:val="005353F2"/>
  </w:style>
  <w:style w:type="character" w:styleId="Voetnootmarkering">
    <w:name w:val="footnote reference"/>
    <w:rsid w:val="005353F2"/>
    <w:rPr>
      <w:vertAlign w:val="superscript"/>
    </w:rPr>
  </w:style>
  <w:style w:type="character" w:styleId="Hyperlink">
    <w:name w:val="Hyperlink"/>
    <w:rsid w:val="005353F2"/>
    <w:rPr>
      <w:color w:val="000080"/>
      <w:u w:val="single"/>
    </w:rPr>
  </w:style>
  <w:style w:type="character" w:customStyle="1" w:styleId="Eindnoottekens">
    <w:name w:val="Eindnoottekens"/>
    <w:rsid w:val="005353F2"/>
    <w:rPr>
      <w:vertAlign w:val="superscript"/>
    </w:rPr>
  </w:style>
  <w:style w:type="character" w:customStyle="1" w:styleId="WW-Eindnoottekens">
    <w:name w:val="WW-Eindnoottekens"/>
    <w:rsid w:val="005353F2"/>
  </w:style>
  <w:style w:type="character" w:styleId="Eindnootmarkering">
    <w:name w:val="endnote reference"/>
    <w:rsid w:val="005353F2"/>
    <w:rPr>
      <w:vertAlign w:val="superscript"/>
    </w:rPr>
  </w:style>
  <w:style w:type="paragraph" w:customStyle="1" w:styleId="Kop">
    <w:name w:val="Kop"/>
    <w:basedOn w:val="Normaal"/>
    <w:next w:val="Plattetekst"/>
    <w:rsid w:val="005353F2"/>
    <w:pPr>
      <w:keepNext/>
      <w:spacing w:before="240" w:after="120"/>
    </w:pPr>
    <w:rPr>
      <w:rFonts w:ascii="Arial" w:eastAsia="Microsoft YaHei" w:hAnsi="Arial" w:cs="Mangal"/>
      <w:sz w:val="28"/>
      <w:szCs w:val="28"/>
    </w:rPr>
  </w:style>
  <w:style w:type="paragraph" w:styleId="Plattetekst">
    <w:name w:val="Body Text"/>
    <w:basedOn w:val="Normaal"/>
    <w:rsid w:val="005353F2"/>
    <w:pPr>
      <w:spacing w:after="120"/>
    </w:pPr>
  </w:style>
  <w:style w:type="paragraph" w:styleId="Lijst">
    <w:name w:val="List"/>
    <w:basedOn w:val="Plattetekst"/>
    <w:rsid w:val="005353F2"/>
    <w:rPr>
      <w:rFonts w:cs="Mangal"/>
    </w:rPr>
  </w:style>
  <w:style w:type="paragraph" w:customStyle="1" w:styleId="Bijschrift1">
    <w:name w:val="Bijschrift1"/>
    <w:basedOn w:val="Normaal"/>
    <w:rsid w:val="005353F2"/>
    <w:pPr>
      <w:suppressLineNumbers/>
      <w:spacing w:before="120" w:after="120"/>
    </w:pPr>
    <w:rPr>
      <w:rFonts w:cs="Mangal"/>
      <w:i/>
      <w:iCs/>
      <w:sz w:val="24"/>
      <w:szCs w:val="24"/>
    </w:rPr>
  </w:style>
  <w:style w:type="paragraph" w:customStyle="1" w:styleId="Index">
    <w:name w:val="Index"/>
    <w:basedOn w:val="Normaal"/>
    <w:rsid w:val="005353F2"/>
    <w:pPr>
      <w:suppressLineNumbers/>
    </w:pPr>
    <w:rPr>
      <w:rFonts w:cs="Mangal"/>
    </w:rPr>
  </w:style>
  <w:style w:type="paragraph" w:styleId="Voetnoottekst">
    <w:name w:val="footnote text"/>
    <w:basedOn w:val="Normaal"/>
    <w:link w:val="VoetnoottekstTeken"/>
    <w:rsid w:val="005353F2"/>
    <w:pPr>
      <w:suppressLineNumbers/>
      <w:ind w:left="283" w:hanging="283"/>
    </w:pPr>
    <w:rPr>
      <w:sz w:val="20"/>
      <w:szCs w:val="20"/>
    </w:rPr>
  </w:style>
  <w:style w:type="paragraph" w:styleId="Voettekst">
    <w:name w:val="footer"/>
    <w:basedOn w:val="Normaal"/>
    <w:rsid w:val="005353F2"/>
    <w:pPr>
      <w:suppressLineNumbers/>
      <w:tabs>
        <w:tab w:val="center" w:pos="4536"/>
        <w:tab w:val="right" w:pos="9072"/>
      </w:tabs>
    </w:pPr>
  </w:style>
  <w:style w:type="paragraph" w:customStyle="1" w:styleId="Inhoudtabel">
    <w:name w:val="Inhoud tabel"/>
    <w:basedOn w:val="Normaal"/>
    <w:rsid w:val="005353F2"/>
    <w:pPr>
      <w:suppressLineNumbers/>
    </w:pPr>
  </w:style>
  <w:style w:type="paragraph" w:customStyle="1" w:styleId="Tabelkop">
    <w:name w:val="Tabelkop"/>
    <w:basedOn w:val="Inhoudtabel"/>
    <w:rsid w:val="005353F2"/>
    <w:pPr>
      <w:jc w:val="center"/>
    </w:pPr>
    <w:rPr>
      <w:b/>
      <w:bCs/>
    </w:rPr>
  </w:style>
  <w:style w:type="paragraph" w:styleId="Koptekst">
    <w:name w:val="header"/>
    <w:basedOn w:val="Normaal"/>
    <w:rsid w:val="005353F2"/>
    <w:pPr>
      <w:suppressLineNumbers/>
      <w:tabs>
        <w:tab w:val="center" w:pos="4819"/>
        <w:tab w:val="right" w:pos="9638"/>
      </w:tabs>
    </w:pPr>
  </w:style>
  <w:style w:type="character" w:customStyle="1" w:styleId="VoetnoottekstTeken">
    <w:name w:val="Voetnoottekst Teken"/>
    <w:basedOn w:val="Standaardalinea-lettertype"/>
    <w:link w:val="Voetnoottekst"/>
    <w:rsid w:val="00EB06F7"/>
    <w:rPr>
      <w:rFonts w:ascii="Calibri" w:eastAsia="SimSun" w:hAnsi="Calibri" w:cs="Calibri"/>
      <w:kern w:val="1"/>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5353F2"/>
    <w:pPr>
      <w:suppressAutoHyphens/>
      <w:spacing w:after="200" w:line="276" w:lineRule="auto"/>
    </w:pPr>
    <w:rPr>
      <w:rFonts w:ascii="Calibri" w:eastAsia="SimSun" w:hAnsi="Calibri" w:cs="Calibri"/>
      <w:kern w:val="1"/>
      <w:sz w:val="22"/>
      <w:szCs w:val="22"/>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oetnoottekens">
    <w:name w:val="Voetnoottekens"/>
    <w:rsid w:val="005353F2"/>
  </w:style>
  <w:style w:type="character" w:styleId="Voetnootmarkering">
    <w:name w:val="footnote reference"/>
    <w:rsid w:val="005353F2"/>
    <w:rPr>
      <w:vertAlign w:val="superscript"/>
    </w:rPr>
  </w:style>
  <w:style w:type="character" w:styleId="Hyperlink">
    <w:name w:val="Hyperlink"/>
    <w:rsid w:val="005353F2"/>
    <w:rPr>
      <w:color w:val="000080"/>
      <w:u w:val="single"/>
    </w:rPr>
  </w:style>
  <w:style w:type="character" w:customStyle="1" w:styleId="Eindnoottekens">
    <w:name w:val="Eindnoottekens"/>
    <w:rsid w:val="005353F2"/>
    <w:rPr>
      <w:vertAlign w:val="superscript"/>
    </w:rPr>
  </w:style>
  <w:style w:type="character" w:customStyle="1" w:styleId="WW-Eindnoottekens">
    <w:name w:val="WW-Eindnoottekens"/>
    <w:rsid w:val="005353F2"/>
  </w:style>
  <w:style w:type="character" w:styleId="Eindnootmarkering">
    <w:name w:val="endnote reference"/>
    <w:rsid w:val="005353F2"/>
    <w:rPr>
      <w:vertAlign w:val="superscript"/>
    </w:rPr>
  </w:style>
  <w:style w:type="paragraph" w:customStyle="1" w:styleId="Kop">
    <w:name w:val="Kop"/>
    <w:basedOn w:val="Normaal"/>
    <w:next w:val="Plattetekst"/>
    <w:rsid w:val="005353F2"/>
    <w:pPr>
      <w:keepNext/>
      <w:spacing w:before="240" w:after="120"/>
    </w:pPr>
    <w:rPr>
      <w:rFonts w:ascii="Arial" w:eastAsia="Microsoft YaHei" w:hAnsi="Arial" w:cs="Mangal"/>
      <w:sz w:val="28"/>
      <w:szCs w:val="28"/>
    </w:rPr>
  </w:style>
  <w:style w:type="paragraph" w:styleId="Plattetekst">
    <w:name w:val="Body Text"/>
    <w:basedOn w:val="Normaal"/>
    <w:rsid w:val="005353F2"/>
    <w:pPr>
      <w:spacing w:after="120"/>
    </w:pPr>
  </w:style>
  <w:style w:type="paragraph" w:styleId="Lijst">
    <w:name w:val="List"/>
    <w:basedOn w:val="Plattetekst"/>
    <w:rsid w:val="005353F2"/>
    <w:rPr>
      <w:rFonts w:cs="Mangal"/>
    </w:rPr>
  </w:style>
  <w:style w:type="paragraph" w:customStyle="1" w:styleId="Bijschrift1">
    <w:name w:val="Bijschrift1"/>
    <w:basedOn w:val="Normaal"/>
    <w:rsid w:val="005353F2"/>
    <w:pPr>
      <w:suppressLineNumbers/>
      <w:spacing w:before="120" w:after="120"/>
    </w:pPr>
    <w:rPr>
      <w:rFonts w:cs="Mangal"/>
      <w:i/>
      <w:iCs/>
      <w:sz w:val="24"/>
      <w:szCs w:val="24"/>
    </w:rPr>
  </w:style>
  <w:style w:type="paragraph" w:customStyle="1" w:styleId="Index">
    <w:name w:val="Index"/>
    <w:basedOn w:val="Normaal"/>
    <w:rsid w:val="005353F2"/>
    <w:pPr>
      <w:suppressLineNumbers/>
    </w:pPr>
    <w:rPr>
      <w:rFonts w:cs="Mangal"/>
    </w:rPr>
  </w:style>
  <w:style w:type="paragraph" w:styleId="Voetnoottekst">
    <w:name w:val="footnote text"/>
    <w:basedOn w:val="Normaal"/>
    <w:link w:val="VoetnoottekstTeken"/>
    <w:rsid w:val="005353F2"/>
    <w:pPr>
      <w:suppressLineNumbers/>
      <w:ind w:left="283" w:hanging="283"/>
    </w:pPr>
    <w:rPr>
      <w:sz w:val="20"/>
      <w:szCs w:val="20"/>
    </w:rPr>
  </w:style>
  <w:style w:type="paragraph" w:styleId="Voettekst">
    <w:name w:val="footer"/>
    <w:basedOn w:val="Normaal"/>
    <w:rsid w:val="005353F2"/>
    <w:pPr>
      <w:suppressLineNumbers/>
      <w:tabs>
        <w:tab w:val="center" w:pos="4536"/>
        <w:tab w:val="right" w:pos="9072"/>
      </w:tabs>
    </w:pPr>
  </w:style>
  <w:style w:type="paragraph" w:customStyle="1" w:styleId="Inhoudtabel">
    <w:name w:val="Inhoud tabel"/>
    <w:basedOn w:val="Normaal"/>
    <w:rsid w:val="005353F2"/>
    <w:pPr>
      <w:suppressLineNumbers/>
    </w:pPr>
  </w:style>
  <w:style w:type="paragraph" w:customStyle="1" w:styleId="Tabelkop">
    <w:name w:val="Tabelkop"/>
    <w:basedOn w:val="Inhoudtabel"/>
    <w:rsid w:val="005353F2"/>
    <w:pPr>
      <w:jc w:val="center"/>
    </w:pPr>
    <w:rPr>
      <w:b/>
      <w:bCs/>
    </w:rPr>
  </w:style>
  <w:style w:type="paragraph" w:styleId="Koptekst">
    <w:name w:val="header"/>
    <w:basedOn w:val="Normaal"/>
    <w:rsid w:val="005353F2"/>
    <w:pPr>
      <w:suppressLineNumbers/>
      <w:tabs>
        <w:tab w:val="center" w:pos="4819"/>
        <w:tab w:val="right" w:pos="9638"/>
      </w:tabs>
    </w:pPr>
  </w:style>
  <w:style w:type="character" w:customStyle="1" w:styleId="VoetnoottekstTeken">
    <w:name w:val="Voetnoottekst Teken"/>
    <w:basedOn w:val="Standaardalinea-lettertype"/>
    <w:link w:val="Voetnoottekst"/>
    <w:rsid w:val="00EB06F7"/>
    <w:rPr>
      <w:rFonts w:ascii="Calibri" w:eastAsia="SimSun"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rsssf.com/" TargetMode="External"/><Relationship Id="rId2" Type="http://schemas.openxmlformats.org/officeDocument/2006/relationships/hyperlink" Target="http://www.groene.nl/2013/24/de-nieuwe-kuip-is-bijna-rond" TargetMode="External"/><Relationship Id="rId3" Type="http://schemas.openxmlformats.org/officeDocument/2006/relationships/hyperlink" Target="http://www.groene.nl/commentaar/2011-05-18/overheid-steunt-betaald-voetbal-met-ruim-1-miljard-e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2349FF-CBD6-BE4B-8127-F63563EBA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1392</Words>
  <Characters>7657</Characters>
  <Application>Microsoft Macintosh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Tilburg University</Company>
  <LinksUpToDate>false</LinksUpToDate>
  <CharactersWithSpaces>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Tuijl</dc:creator>
  <cp:lastModifiedBy>Koen Aarts</cp:lastModifiedBy>
  <cp:revision>3</cp:revision>
  <cp:lastPrinted>2013-07-18T07:44:00Z</cp:lastPrinted>
  <dcterms:created xsi:type="dcterms:W3CDTF">2013-07-24T08:44:00Z</dcterms:created>
  <dcterms:modified xsi:type="dcterms:W3CDTF">2013-07-25T08:29:00Z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